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BFA36" w14:textId="39488FFB" w:rsidR="009A5989" w:rsidRPr="00F36BE9" w:rsidRDefault="004B524E" w:rsidP="00104041">
      <w:pPr>
        <w:spacing w:after="0"/>
        <w:jc w:val="center"/>
        <w:rPr>
          <w:b/>
          <w:sz w:val="28"/>
          <w:szCs w:val="28"/>
        </w:rPr>
      </w:pPr>
      <w:r w:rsidRPr="00F36BE9">
        <w:rPr>
          <w:b/>
          <w:sz w:val="28"/>
          <w:szCs w:val="28"/>
        </w:rPr>
        <w:t xml:space="preserve">Sexual Misconduct and Discrimination Investigation and Resolution Process for </w:t>
      </w:r>
      <w:r w:rsidR="00D03014">
        <w:rPr>
          <w:b/>
          <w:sz w:val="28"/>
          <w:szCs w:val="28"/>
        </w:rPr>
        <w:t xml:space="preserve">Complaints Involving </w:t>
      </w:r>
      <w:r w:rsidR="00C939EF">
        <w:rPr>
          <w:b/>
          <w:sz w:val="28"/>
          <w:szCs w:val="28"/>
        </w:rPr>
        <w:t>Employees</w:t>
      </w:r>
      <w:r w:rsidR="00D1639D" w:rsidRPr="00F36BE9">
        <w:rPr>
          <w:b/>
          <w:sz w:val="28"/>
          <w:szCs w:val="28"/>
        </w:rPr>
        <w:t xml:space="preserve"> </w:t>
      </w:r>
    </w:p>
    <w:p w14:paraId="3482DA20" w14:textId="5C9EFB4F" w:rsidR="004B524E" w:rsidRPr="00F36BE9" w:rsidRDefault="004B524E" w:rsidP="00104041">
      <w:pPr>
        <w:spacing w:after="0"/>
        <w:jc w:val="center"/>
        <w:rPr>
          <w:b/>
          <w:sz w:val="28"/>
          <w:szCs w:val="28"/>
        </w:rPr>
      </w:pPr>
      <w:r w:rsidRPr="00F36BE9">
        <w:rPr>
          <w:b/>
          <w:sz w:val="28"/>
          <w:szCs w:val="28"/>
        </w:rPr>
        <w:t>General Overview</w:t>
      </w:r>
    </w:p>
    <w:p w14:paraId="1AF6DA04" w14:textId="77777777" w:rsidR="004B524E" w:rsidRPr="00A90A85" w:rsidRDefault="004B524E" w:rsidP="004B524E">
      <w:pPr>
        <w:spacing w:after="0"/>
        <w:rPr>
          <w:sz w:val="21"/>
          <w:szCs w:val="21"/>
        </w:rPr>
      </w:pPr>
    </w:p>
    <w:p w14:paraId="73E3ED60" w14:textId="3C5E71EA" w:rsidR="00160BA8" w:rsidRPr="006A3507" w:rsidRDefault="004B524E" w:rsidP="004C6F62">
      <w:pPr>
        <w:spacing w:after="0"/>
        <w:jc w:val="center"/>
        <w:rPr>
          <w:rStyle w:val="Hyperlink"/>
          <w:sz w:val="20"/>
          <w:szCs w:val="20"/>
        </w:rPr>
      </w:pPr>
      <w:r w:rsidRPr="006A3507">
        <w:rPr>
          <w:sz w:val="20"/>
          <w:szCs w:val="20"/>
        </w:rPr>
        <w:t>This outline provide</w:t>
      </w:r>
      <w:r w:rsidR="000069B1" w:rsidRPr="006A3507">
        <w:rPr>
          <w:sz w:val="20"/>
          <w:szCs w:val="20"/>
        </w:rPr>
        <w:t>s</w:t>
      </w:r>
      <w:r w:rsidRPr="006A3507">
        <w:rPr>
          <w:sz w:val="20"/>
          <w:szCs w:val="20"/>
        </w:rPr>
        <w:t xml:space="preserve"> a general overview. A ful</w:t>
      </w:r>
      <w:r w:rsidR="000069B1" w:rsidRPr="006A3507">
        <w:rPr>
          <w:sz w:val="20"/>
          <w:szCs w:val="20"/>
        </w:rPr>
        <w:t>l explanation</w:t>
      </w:r>
      <w:r w:rsidR="003560B1" w:rsidRPr="006A3507">
        <w:rPr>
          <w:sz w:val="20"/>
          <w:szCs w:val="20"/>
        </w:rPr>
        <w:t xml:space="preserve"> of</w:t>
      </w:r>
      <w:r w:rsidRPr="006A3507">
        <w:rPr>
          <w:sz w:val="20"/>
          <w:szCs w:val="20"/>
        </w:rPr>
        <w:t xml:space="preserve"> the </w:t>
      </w:r>
      <w:r w:rsidR="00E568DA" w:rsidRPr="006A3507">
        <w:rPr>
          <w:sz w:val="20"/>
          <w:szCs w:val="20"/>
        </w:rPr>
        <w:t>I</w:t>
      </w:r>
      <w:r w:rsidRPr="006A3507">
        <w:rPr>
          <w:sz w:val="20"/>
          <w:szCs w:val="20"/>
        </w:rPr>
        <w:t xml:space="preserve">nvestigation and </w:t>
      </w:r>
      <w:r w:rsidR="00E568DA" w:rsidRPr="006A3507">
        <w:rPr>
          <w:sz w:val="20"/>
          <w:szCs w:val="20"/>
        </w:rPr>
        <w:t>R</w:t>
      </w:r>
      <w:r w:rsidRPr="006A3507">
        <w:rPr>
          <w:sz w:val="20"/>
          <w:szCs w:val="20"/>
        </w:rPr>
        <w:t xml:space="preserve">esolution </w:t>
      </w:r>
      <w:r w:rsidR="000235B6" w:rsidRPr="006A3507">
        <w:rPr>
          <w:sz w:val="20"/>
          <w:szCs w:val="20"/>
        </w:rPr>
        <w:t>P</w:t>
      </w:r>
      <w:r w:rsidRPr="006A3507">
        <w:rPr>
          <w:sz w:val="20"/>
          <w:szCs w:val="20"/>
        </w:rPr>
        <w:t>rocess</w:t>
      </w:r>
      <w:r w:rsidR="00D03014" w:rsidRPr="006A3507">
        <w:rPr>
          <w:sz w:val="20"/>
          <w:szCs w:val="20"/>
        </w:rPr>
        <w:t xml:space="preserve"> for complaints involving employees</w:t>
      </w:r>
      <w:r w:rsidRPr="006A3507">
        <w:rPr>
          <w:sz w:val="20"/>
          <w:szCs w:val="20"/>
        </w:rPr>
        <w:t xml:space="preserve"> can be found</w:t>
      </w:r>
      <w:r w:rsidR="009A5989" w:rsidRPr="006A3507">
        <w:rPr>
          <w:sz w:val="20"/>
          <w:szCs w:val="20"/>
        </w:rPr>
        <w:t xml:space="preserve"> </w:t>
      </w:r>
      <w:hyperlink r:id="rId8" w:history="1">
        <w:r w:rsidR="00160BA8" w:rsidRPr="004B13F1">
          <w:rPr>
            <w:rStyle w:val="Hyperlink"/>
            <w:sz w:val="20"/>
            <w:szCs w:val="20"/>
          </w:rPr>
          <w:t>here</w:t>
        </w:r>
      </w:hyperlink>
      <w:r w:rsidR="00160BA8" w:rsidRPr="006A3507">
        <w:rPr>
          <w:sz w:val="20"/>
          <w:szCs w:val="20"/>
        </w:rPr>
        <w:t xml:space="preserve"> or at </w:t>
      </w:r>
      <w:hyperlink r:id="rId9" w:history="1">
        <w:r w:rsidR="00160BA8" w:rsidRPr="006A3507">
          <w:rPr>
            <w:rStyle w:val="Hyperlink"/>
            <w:sz w:val="20"/>
            <w:szCs w:val="20"/>
          </w:rPr>
          <w:t>eoa.oregonstate.edu</w:t>
        </w:r>
      </w:hyperlink>
    </w:p>
    <w:p w14:paraId="31C69ABD" w14:textId="0B58DD37" w:rsidR="00F36BE9" w:rsidRPr="006A3507" w:rsidRDefault="00F36BE9" w:rsidP="004C6F62">
      <w:pPr>
        <w:spacing w:after="0"/>
        <w:jc w:val="center"/>
        <w:rPr>
          <w:sz w:val="20"/>
          <w:szCs w:val="20"/>
        </w:rPr>
      </w:pPr>
    </w:p>
    <w:tbl>
      <w:tblPr>
        <w:tblStyle w:val="TableGrid"/>
        <w:tblW w:w="0" w:type="auto"/>
        <w:tblLook w:val="04A0" w:firstRow="1" w:lastRow="0" w:firstColumn="1" w:lastColumn="0" w:noHBand="0" w:noVBand="1"/>
      </w:tblPr>
      <w:tblGrid>
        <w:gridCol w:w="5575"/>
        <w:gridCol w:w="8959"/>
      </w:tblGrid>
      <w:tr w:rsidR="004B524E" w:rsidRPr="006A3507" w14:paraId="2847B28C" w14:textId="77777777" w:rsidTr="00EA1E1D">
        <w:trPr>
          <w:trHeight w:val="1970"/>
        </w:trPr>
        <w:tc>
          <w:tcPr>
            <w:tcW w:w="14534" w:type="dxa"/>
            <w:gridSpan w:val="2"/>
          </w:tcPr>
          <w:p w14:paraId="78D9A496" w14:textId="77777777" w:rsidR="004B524E" w:rsidRPr="006A3507" w:rsidRDefault="004B524E" w:rsidP="004B524E">
            <w:pPr>
              <w:rPr>
                <w:b/>
                <w:sz w:val="20"/>
                <w:szCs w:val="20"/>
              </w:rPr>
            </w:pPr>
            <w:r w:rsidRPr="006A3507">
              <w:rPr>
                <w:b/>
                <w:sz w:val="20"/>
                <w:szCs w:val="20"/>
              </w:rPr>
              <w:t>Phase One:</w:t>
            </w:r>
            <w:r w:rsidR="00F876C1" w:rsidRPr="006A3507">
              <w:rPr>
                <w:b/>
                <w:sz w:val="20"/>
                <w:szCs w:val="20"/>
              </w:rPr>
              <w:t xml:space="preserve">  Receipt of Report</w:t>
            </w:r>
          </w:p>
          <w:p w14:paraId="7A504037" w14:textId="77777777" w:rsidR="00293095" w:rsidRPr="006A3507" w:rsidRDefault="00293095" w:rsidP="00CA3329">
            <w:pPr>
              <w:rPr>
                <w:sz w:val="20"/>
                <w:szCs w:val="20"/>
              </w:rPr>
            </w:pPr>
          </w:p>
          <w:p w14:paraId="39B24DEF" w14:textId="11B1B0F2" w:rsidR="00BA65F3" w:rsidRPr="006A3507" w:rsidRDefault="00FF147E" w:rsidP="00CA3329">
            <w:pPr>
              <w:rPr>
                <w:sz w:val="20"/>
                <w:szCs w:val="20"/>
              </w:rPr>
            </w:pPr>
            <w:r w:rsidRPr="006A3507">
              <w:rPr>
                <w:sz w:val="20"/>
                <w:szCs w:val="20"/>
              </w:rPr>
              <w:t xml:space="preserve">On receipt of a report, </w:t>
            </w:r>
            <w:r w:rsidR="004B524E" w:rsidRPr="006A3507">
              <w:rPr>
                <w:sz w:val="20"/>
                <w:szCs w:val="20"/>
              </w:rPr>
              <w:t>EOA</w:t>
            </w:r>
            <w:r w:rsidR="00BA65F3" w:rsidRPr="006A3507">
              <w:rPr>
                <w:sz w:val="20"/>
                <w:szCs w:val="20"/>
              </w:rPr>
              <w:t>:</w:t>
            </w:r>
          </w:p>
          <w:p w14:paraId="388357A4" w14:textId="77777777" w:rsidR="00BA65F3" w:rsidRPr="006A3507" w:rsidRDefault="00BA65F3" w:rsidP="00BA65F3">
            <w:pPr>
              <w:pStyle w:val="ListParagraph"/>
              <w:numPr>
                <w:ilvl w:val="0"/>
                <w:numId w:val="9"/>
              </w:numPr>
              <w:rPr>
                <w:sz w:val="20"/>
                <w:szCs w:val="20"/>
              </w:rPr>
            </w:pPr>
            <w:r w:rsidRPr="006A3507">
              <w:rPr>
                <w:sz w:val="20"/>
                <w:szCs w:val="20"/>
              </w:rPr>
              <w:t>R</w:t>
            </w:r>
            <w:r w:rsidR="004B524E" w:rsidRPr="006A3507">
              <w:rPr>
                <w:sz w:val="20"/>
                <w:szCs w:val="20"/>
              </w:rPr>
              <w:t>esponds to any immediate health or safety concerns raised by the report</w:t>
            </w:r>
            <w:r w:rsidR="000235B6" w:rsidRPr="006A3507">
              <w:rPr>
                <w:sz w:val="20"/>
                <w:szCs w:val="20"/>
              </w:rPr>
              <w:t>,</w:t>
            </w:r>
            <w:r w:rsidR="004B524E" w:rsidRPr="006A3507">
              <w:rPr>
                <w:sz w:val="20"/>
                <w:szCs w:val="20"/>
              </w:rPr>
              <w:t xml:space="preserve"> </w:t>
            </w:r>
          </w:p>
          <w:p w14:paraId="6B58ABBB" w14:textId="5A523D58" w:rsidR="00BA65F3" w:rsidRPr="006A3507" w:rsidRDefault="00BA65F3" w:rsidP="00BA65F3">
            <w:pPr>
              <w:pStyle w:val="ListParagraph"/>
              <w:numPr>
                <w:ilvl w:val="0"/>
                <w:numId w:val="9"/>
              </w:numPr>
              <w:rPr>
                <w:sz w:val="20"/>
                <w:szCs w:val="20"/>
              </w:rPr>
            </w:pPr>
            <w:r w:rsidRPr="006A3507">
              <w:rPr>
                <w:sz w:val="20"/>
                <w:szCs w:val="20"/>
              </w:rPr>
              <w:t>E</w:t>
            </w:r>
            <w:r w:rsidR="004B524E" w:rsidRPr="006A3507">
              <w:rPr>
                <w:sz w:val="20"/>
                <w:szCs w:val="20"/>
              </w:rPr>
              <w:t>valuates whether the reported conduct is within</w:t>
            </w:r>
            <w:r w:rsidR="000D7C36" w:rsidRPr="006A3507">
              <w:rPr>
                <w:sz w:val="20"/>
                <w:szCs w:val="20"/>
              </w:rPr>
              <w:t xml:space="preserve"> EOA’s jurisdiction</w:t>
            </w:r>
            <w:r w:rsidR="000235B6" w:rsidRPr="006A3507">
              <w:rPr>
                <w:sz w:val="20"/>
                <w:szCs w:val="20"/>
              </w:rPr>
              <w:t>,</w:t>
            </w:r>
            <w:r w:rsidR="004B524E" w:rsidRPr="006A3507">
              <w:rPr>
                <w:sz w:val="20"/>
                <w:szCs w:val="20"/>
              </w:rPr>
              <w:t xml:space="preserve"> and</w:t>
            </w:r>
            <w:r w:rsidR="001904CA" w:rsidRPr="006A3507">
              <w:rPr>
                <w:sz w:val="20"/>
                <w:szCs w:val="20"/>
              </w:rPr>
              <w:t xml:space="preserve">, </w:t>
            </w:r>
          </w:p>
          <w:p w14:paraId="077525D3" w14:textId="77777777" w:rsidR="00EA1E1D" w:rsidRPr="006A3507" w:rsidRDefault="00BA65F3" w:rsidP="00FF147E">
            <w:pPr>
              <w:pStyle w:val="ListParagraph"/>
              <w:numPr>
                <w:ilvl w:val="0"/>
                <w:numId w:val="9"/>
              </w:numPr>
              <w:rPr>
                <w:sz w:val="20"/>
                <w:szCs w:val="20"/>
              </w:rPr>
            </w:pPr>
            <w:r w:rsidRPr="006A3507">
              <w:rPr>
                <w:sz w:val="20"/>
                <w:szCs w:val="20"/>
              </w:rPr>
              <w:t>I</w:t>
            </w:r>
            <w:r w:rsidR="001904CA" w:rsidRPr="006A3507">
              <w:rPr>
                <w:sz w:val="20"/>
                <w:szCs w:val="20"/>
              </w:rPr>
              <w:t>f so,</w:t>
            </w:r>
            <w:r w:rsidR="00CA3329" w:rsidRPr="006A3507">
              <w:rPr>
                <w:sz w:val="20"/>
                <w:szCs w:val="20"/>
              </w:rPr>
              <w:t xml:space="preserve"> </w:t>
            </w:r>
            <w:r w:rsidR="004B524E" w:rsidRPr="006A3507">
              <w:rPr>
                <w:sz w:val="20"/>
                <w:szCs w:val="20"/>
              </w:rPr>
              <w:t>reaches out to the Re</w:t>
            </w:r>
            <w:r w:rsidR="00777367" w:rsidRPr="006A3507">
              <w:rPr>
                <w:sz w:val="20"/>
                <w:szCs w:val="20"/>
              </w:rPr>
              <w:t>porting Party</w:t>
            </w:r>
            <w:r w:rsidR="00CA3329" w:rsidRPr="006A3507">
              <w:rPr>
                <w:rStyle w:val="FootnoteReference"/>
                <w:sz w:val="20"/>
                <w:szCs w:val="20"/>
              </w:rPr>
              <w:footnoteReference w:id="1"/>
            </w:r>
            <w:r w:rsidR="004B524E" w:rsidRPr="006A3507">
              <w:rPr>
                <w:sz w:val="20"/>
                <w:szCs w:val="20"/>
              </w:rPr>
              <w:t xml:space="preserve"> to provide resources</w:t>
            </w:r>
            <w:r w:rsidR="00C939EF" w:rsidRPr="006A3507">
              <w:rPr>
                <w:sz w:val="20"/>
                <w:szCs w:val="20"/>
              </w:rPr>
              <w:t xml:space="preserve"> and</w:t>
            </w:r>
            <w:r w:rsidR="004B524E" w:rsidRPr="006A3507">
              <w:rPr>
                <w:sz w:val="20"/>
                <w:szCs w:val="20"/>
              </w:rPr>
              <w:t xml:space="preserve"> offer assistance.</w:t>
            </w:r>
          </w:p>
          <w:p w14:paraId="508C0FD1" w14:textId="02C96521" w:rsidR="00FF147E" w:rsidRPr="006A3507" w:rsidRDefault="00EA1E1D" w:rsidP="00FF147E">
            <w:pPr>
              <w:pStyle w:val="ListParagraph"/>
              <w:numPr>
                <w:ilvl w:val="0"/>
                <w:numId w:val="9"/>
              </w:numPr>
              <w:rPr>
                <w:sz w:val="20"/>
                <w:szCs w:val="20"/>
              </w:rPr>
            </w:pPr>
            <w:r w:rsidRPr="006A3507">
              <w:rPr>
                <w:sz w:val="20"/>
                <w:szCs w:val="20"/>
              </w:rPr>
              <w:t xml:space="preserve">If the reported conduct is not within EOA’s </w:t>
            </w:r>
            <w:r w:rsidR="000D7C36" w:rsidRPr="006A3507">
              <w:rPr>
                <w:sz w:val="20"/>
                <w:szCs w:val="20"/>
              </w:rPr>
              <w:t>jurisdiction</w:t>
            </w:r>
            <w:r w:rsidR="00DE5B94">
              <w:rPr>
                <w:sz w:val="20"/>
                <w:szCs w:val="20"/>
              </w:rPr>
              <w:t>,</w:t>
            </w:r>
            <w:r w:rsidRPr="006A3507">
              <w:rPr>
                <w:sz w:val="20"/>
                <w:szCs w:val="20"/>
              </w:rPr>
              <w:t xml:space="preserve"> refers to other appropriate office or closes the </w:t>
            </w:r>
            <w:r w:rsidR="000D7C36" w:rsidRPr="006A3507">
              <w:rPr>
                <w:sz w:val="20"/>
                <w:szCs w:val="20"/>
              </w:rPr>
              <w:t>reported matter.</w:t>
            </w:r>
            <w:r w:rsidR="004B524E" w:rsidRPr="006A3507">
              <w:rPr>
                <w:sz w:val="20"/>
                <w:szCs w:val="20"/>
              </w:rPr>
              <w:t xml:space="preserve"> </w:t>
            </w:r>
          </w:p>
        </w:tc>
      </w:tr>
      <w:tr w:rsidR="004B524E" w:rsidRPr="006A3507" w14:paraId="05DB2AF6" w14:textId="77777777" w:rsidTr="001F4533">
        <w:tc>
          <w:tcPr>
            <w:tcW w:w="14534" w:type="dxa"/>
            <w:gridSpan w:val="2"/>
          </w:tcPr>
          <w:p w14:paraId="619974BB" w14:textId="77777777" w:rsidR="004B524E" w:rsidRPr="006A3507" w:rsidRDefault="004B524E" w:rsidP="004B524E">
            <w:pPr>
              <w:rPr>
                <w:b/>
                <w:sz w:val="20"/>
                <w:szCs w:val="20"/>
              </w:rPr>
            </w:pPr>
            <w:r w:rsidRPr="006A3507">
              <w:rPr>
                <w:b/>
                <w:sz w:val="20"/>
                <w:szCs w:val="20"/>
              </w:rPr>
              <w:t>Phase Two:</w:t>
            </w:r>
            <w:r w:rsidR="00F876C1" w:rsidRPr="006A3507">
              <w:rPr>
                <w:b/>
                <w:sz w:val="20"/>
                <w:szCs w:val="20"/>
              </w:rPr>
              <w:t xml:space="preserve">  Intake and Assessment</w:t>
            </w:r>
          </w:p>
          <w:p w14:paraId="1F7E5734" w14:textId="77777777" w:rsidR="00293095" w:rsidRPr="006A3507" w:rsidRDefault="00293095" w:rsidP="00EB7FA2">
            <w:pPr>
              <w:rPr>
                <w:sz w:val="20"/>
                <w:szCs w:val="20"/>
              </w:rPr>
            </w:pPr>
          </w:p>
          <w:p w14:paraId="3F48BBFD" w14:textId="77777777" w:rsidR="00BA65F3" w:rsidRPr="006A3507" w:rsidRDefault="000661EC" w:rsidP="00BA65F3">
            <w:pPr>
              <w:pStyle w:val="ListParagraph"/>
              <w:numPr>
                <w:ilvl w:val="0"/>
                <w:numId w:val="10"/>
              </w:numPr>
              <w:rPr>
                <w:sz w:val="20"/>
                <w:szCs w:val="20"/>
              </w:rPr>
            </w:pPr>
            <w:r w:rsidRPr="006A3507">
              <w:rPr>
                <w:sz w:val="20"/>
                <w:szCs w:val="20"/>
              </w:rPr>
              <w:t xml:space="preserve">EOA conducts intake with </w:t>
            </w:r>
            <w:r w:rsidR="000436EB" w:rsidRPr="006A3507">
              <w:rPr>
                <w:sz w:val="20"/>
                <w:szCs w:val="20"/>
              </w:rPr>
              <w:t>R</w:t>
            </w:r>
            <w:r w:rsidRPr="006A3507">
              <w:rPr>
                <w:sz w:val="20"/>
                <w:szCs w:val="20"/>
              </w:rPr>
              <w:t xml:space="preserve">eporting </w:t>
            </w:r>
            <w:r w:rsidR="000436EB" w:rsidRPr="006A3507">
              <w:rPr>
                <w:sz w:val="20"/>
                <w:szCs w:val="20"/>
              </w:rPr>
              <w:t>P</w:t>
            </w:r>
            <w:r w:rsidRPr="006A3507">
              <w:rPr>
                <w:sz w:val="20"/>
                <w:szCs w:val="20"/>
              </w:rPr>
              <w:t xml:space="preserve">arty to </w:t>
            </w:r>
            <w:r w:rsidR="00777367" w:rsidRPr="006A3507">
              <w:rPr>
                <w:sz w:val="20"/>
                <w:szCs w:val="20"/>
              </w:rPr>
              <w:t xml:space="preserve">further </w:t>
            </w:r>
            <w:r w:rsidRPr="006A3507">
              <w:rPr>
                <w:sz w:val="20"/>
                <w:szCs w:val="20"/>
              </w:rPr>
              <w:t xml:space="preserve">assess if </w:t>
            </w:r>
            <w:r w:rsidR="00224FFE" w:rsidRPr="006A3507">
              <w:rPr>
                <w:sz w:val="20"/>
                <w:szCs w:val="20"/>
              </w:rPr>
              <w:t xml:space="preserve">the </w:t>
            </w:r>
            <w:r w:rsidRPr="006A3507">
              <w:rPr>
                <w:sz w:val="20"/>
                <w:szCs w:val="20"/>
              </w:rPr>
              <w:t>report</w:t>
            </w:r>
            <w:r w:rsidR="004B524E" w:rsidRPr="006A3507">
              <w:rPr>
                <w:sz w:val="20"/>
                <w:szCs w:val="20"/>
              </w:rPr>
              <w:t xml:space="preserve"> </w:t>
            </w:r>
            <w:r w:rsidRPr="006A3507">
              <w:rPr>
                <w:sz w:val="20"/>
                <w:szCs w:val="20"/>
              </w:rPr>
              <w:t xml:space="preserve">is </w:t>
            </w:r>
            <w:r w:rsidR="004B524E" w:rsidRPr="006A3507">
              <w:rPr>
                <w:sz w:val="20"/>
                <w:szCs w:val="20"/>
              </w:rPr>
              <w:t>within EOA’s</w:t>
            </w:r>
            <w:r w:rsidR="00784302" w:rsidRPr="006A3507">
              <w:rPr>
                <w:sz w:val="20"/>
                <w:szCs w:val="20"/>
              </w:rPr>
              <w:t xml:space="preserve"> </w:t>
            </w:r>
            <w:r w:rsidR="004B524E" w:rsidRPr="006A3507">
              <w:rPr>
                <w:sz w:val="20"/>
                <w:szCs w:val="20"/>
              </w:rPr>
              <w:t>jurisdiction</w:t>
            </w:r>
            <w:r w:rsidR="00784302" w:rsidRPr="006A3507">
              <w:rPr>
                <w:sz w:val="20"/>
                <w:szCs w:val="20"/>
              </w:rPr>
              <w:t xml:space="preserve"> </w:t>
            </w:r>
            <w:r w:rsidRPr="006A3507">
              <w:rPr>
                <w:sz w:val="20"/>
                <w:szCs w:val="20"/>
              </w:rPr>
              <w:t xml:space="preserve">and advises </w:t>
            </w:r>
            <w:r w:rsidR="000436EB" w:rsidRPr="006A3507">
              <w:rPr>
                <w:sz w:val="20"/>
                <w:szCs w:val="20"/>
              </w:rPr>
              <w:t>R</w:t>
            </w:r>
            <w:r w:rsidRPr="006A3507">
              <w:rPr>
                <w:sz w:val="20"/>
                <w:szCs w:val="20"/>
              </w:rPr>
              <w:t xml:space="preserve">eporting </w:t>
            </w:r>
            <w:r w:rsidR="000436EB" w:rsidRPr="006A3507">
              <w:rPr>
                <w:sz w:val="20"/>
                <w:szCs w:val="20"/>
              </w:rPr>
              <w:t>P</w:t>
            </w:r>
            <w:r w:rsidR="00784302" w:rsidRPr="006A3507">
              <w:rPr>
                <w:sz w:val="20"/>
                <w:szCs w:val="20"/>
              </w:rPr>
              <w:t>arty of available resources, support measures</w:t>
            </w:r>
            <w:r w:rsidR="000235B6" w:rsidRPr="006A3507">
              <w:rPr>
                <w:sz w:val="20"/>
                <w:szCs w:val="20"/>
              </w:rPr>
              <w:t>,</w:t>
            </w:r>
            <w:r w:rsidR="00784302" w:rsidRPr="006A3507">
              <w:rPr>
                <w:sz w:val="20"/>
                <w:szCs w:val="20"/>
              </w:rPr>
              <w:t xml:space="preserve"> and </w:t>
            </w:r>
            <w:r w:rsidRPr="006A3507">
              <w:rPr>
                <w:sz w:val="20"/>
                <w:szCs w:val="20"/>
              </w:rPr>
              <w:t>options</w:t>
            </w:r>
            <w:r w:rsidR="00FC1427" w:rsidRPr="006A3507">
              <w:rPr>
                <w:sz w:val="20"/>
                <w:szCs w:val="20"/>
              </w:rPr>
              <w:t xml:space="preserve"> </w:t>
            </w:r>
            <w:r w:rsidR="00784302" w:rsidRPr="006A3507">
              <w:rPr>
                <w:sz w:val="20"/>
                <w:szCs w:val="20"/>
              </w:rPr>
              <w:t xml:space="preserve">for resolution, if desired. </w:t>
            </w:r>
          </w:p>
          <w:p w14:paraId="6B40923B" w14:textId="7F92910D" w:rsidR="00BA65F3" w:rsidRPr="006A3507" w:rsidRDefault="00FC1427" w:rsidP="00BA65F3">
            <w:pPr>
              <w:pStyle w:val="ListParagraph"/>
              <w:numPr>
                <w:ilvl w:val="0"/>
                <w:numId w:val="10"/>
              </w:numPr>
              <w:rPr>
                <w:sz w:val="20"/>
                <w:szCs w:val="20"/>
              </w:rPr>
            </w:pPr>
            <w:r w:rsidRPr="006A3507">
              <w:rPr>
                <w:sz w:val="20"/>
                <w:szCs w:val="20"/>
              </w:rPr>
              <w:t xml:space="preserve">If the </w:t>
            </w:r>
            <w:r w:rsidR="00D03014" w:rsidRPr="006A3507">
              <w:rPr>
                <w:sz w:val="20"/>
                <w:szCs w:val="20"/>
              </w:rPr>
              <w:t>reported conduct</w:t>
            </w:r>
            <w:r w:rsidRPr="006A3507">
              <w:rPr>
                <w:sz w:val="20"/>
                <w:szCs w:val="20"/>
              </w:rPr>
              <w:t xml:space="preserve"> is within EOA</w:t>
            </w:r>
            <w:r w:rsidR="00104041" w:rsidRPr="006A3507">
              <w:rPr>
                <w:sz w:val="20"/>
                <w:szCs w:val="20"/>
              </w:rPr>
              <w:t>’s</w:t>
            </w:r>
            <w:r w:rsidRPr="006A3507">
              <w:rPr>
                <w:sz w:val="20"/>
                <w:szCs w:val="20"/>
              </w:rPr>
              <w:t xml:space="preserve"> jurisdiction and </w:t>
            </w:r>
            <w:r w:rsidR="00104041" w:rsidRPr="006A3507">
              <w:rPr>
                <w:sz w:val="20"/>
                <w:szCs w:val="20"/>
              </w:rPr>
              <w:t>asserts information that</w:t>
            </w:r>
            <w:r w:rsidR="00D03014" w:rsidRPr="006A3507">
              <w:rPr>
                <w:sz w:val="20"/>
                <w:szCs w:val="20"/>
              </w:rPr>
              <w:t>, if true,</w:t>
            </w:r>
            <w:r w:rsidR="00104041" w:rsidRPr="006A3507">
              <w:rPr>
                <w:sz w:val="20"/>
                <w:szCs w:val="20"/>
              </w:rPr>
              <w:t xml:space="preserve"> would constitute a viol</w:t>
            </w:r>
            <w:r w:rsidRPr="006A3507">
              <w:rPr>
                <w:sz w:val="20"/>
                <w:szCs w:val="20"/>
              </w:rPr>
              <w:t>ation</w:t>
            </w:r>
            <w:r w:rsidR="00104041" w:rsidRPr="006A3507">
              <w:rPr>
                <w:sz w:val="20"/>
                <w:szCs w:val="20"/>
              </w:rPr>
              <w:t xml:space="preserve"> of the </w:t>
            </w:r>
            <w:r w:rsidR="00C939EF" w:rsidRPr="006A3507">
              <w:rPr>
                <w:sz w:val="20"/>
                <w:szCs w:val="20"/>
              </w:rPr>
              <w:t>Sexual Misconduct and Discrimination Policy</w:t>
            </w:r>
            <w:r w:rsidR="000436EB" w:rsidRPr="006A3507">
              <w:rPr>
                <w:sz w:val="20"/>
                <w:szCs w:val="20"/>
              </w:rPr>
              <w:t xml:space="preserve">, EOA will consider requests from Reporting Party for </w:t>
            </w:r>
            <w:r w:rsidR="00104041" w:rsidRPr="006A3507">
              <w:rPr>
                <w:sz w:val="20"/>
                <w:szCs w:val="20"/>
              </w:rPr>
              <w:t xml:space="preserve">a Facilitated Resolution, </w:t>
            </w:r>
            <w:r w:rsidR="000436EB" w:rsidRPr="006A3507">
              <w:rPr>
                <w:sz w:val="20"/>
                <w:szCs w:val="20"/>
              </w:rPr>
              <w:t>a</w:t>
            </w:r>
            <w:r w:rsidR="00EB7FA2" w:rsidRPr="006A3507">
              <w:rPr>
                <w:sz w:val="20"/>
                <w:szCs w:val="20"/>
              </w:rPr>
              <w:t>n</w:t>
            </w:r>
            <w:r w:rsidR="000436EB" w:rsidRPr="006A3507">
              <w:rPr>
                <w:sz w:val="20"/>
                <w:szCs w:val="20"/>
              </w:rPr>
              <w:t xml:space="preserve"> Investigation, o</w:t>
            </w:r>
            <w:r w:rsidR="00EA1E1D" w:rsidRPr="006A3507">
              <w:rPr>
                <w:sz w:val="20"/>
                <w:szCs w:val="20"/>
              </w:rPr>
              <w:t>r</w:t>
            </w:r>
            <w:r w:rsidR="00104041" w:rsidRPr="006A3507">
              <w:rPr>
                <w:sz w:val="20"/>
                <w:szCs w:val="20"/>
              </w:rPr>
              <w:t xml:space="preserve"> no </w:t>
            </w:r>
            <w:r w:rsidR="00EA1E1D" w:rsidRPr="006A3507">
              <w:rPr>
                <w:sz w:val="20"/>
                <w:szCs w:val="20"/>
              </w:rPr>
              <w:t>process from EOA</w:t>
            </w:r>
            <w:r w:rsidR="00EC4B71" w:rsidRPr="006A3507">
              <w:rPr>
                <w:sz w:val="20"/>
                <w:szCs w:val="20"/>
              </w:rPr>
              <w:t xml:space="preserve">. </w:t>
            </w:r>
          </w:p>
          <w:p w14:paraId="7F35FF10" w14:textId="0FD73108" w:rsidR="00BA65F3" w:rsidRPr="006A3507" w:rsidRDefault="0077508E" w:rsidP="00BA65F3">
            <w:pPr>
              <w:pStyle w:val="ListParagraph"/>
              <w:numPr>
                <w:ilvl w:val="0"/>
                <w:numId w:val="10"/>
              </w:numPr>
              <w:rPr>
                <w:sz w:val="20"/>
                <w:szCs w:val="20"/>
              </w:rPr>
            </w:pPr>
            <w:r w:rsidRPr="006A3507">
              <w:rPr>
                <w:sz w:val="20"/>
                <w:szCs w:val="20"/>
              </w:rPr>
              <w:t xml:space="preserve">EOA </w:t>
            </w:r>
            <w:r w:rsidR="001904CA" w:rsidRPr="006A3507">
              <w:rPr>
                <w:sz w:val="20"/>
                <w:szCs w:val="20"/>
              </w:rPr>
              <w:t>determines whether facilitated resolution or investigation is appropriate</w:t>
            </w:r>
            <w:r w:rsidR="00EA1E1D" w:rsidRPr="006A3507">
              <w:rPr>
                <w:sz w:val="20"/>
                <w:szCs w:val="20"/>
              </w:rPr>
              <w:t>, or whether a request for no process is an appropriate action and response</w:t>
            </w:r>
            <w:r w:rsidR="001904CA" w:rsidRPr="006A3507">
              <w:rPr>
                <w:sz w:val="20"/>
                <w:szCs w:val="20"/>
              </w:rPr>
              <w:t>.</w:t>
            </w:r>
            <w:r w:rsidR="00104041" w:rsidRPr="006A3507">
              <w:rPr>
                <w:sz w:val="20"/>
                <w:szCs w:val="20"/>
              </w:rPr>
              <w:t xml:space="preserve"> </w:t>
            </w:r>
          </w:p>
          <w:p w14:paraId="2E7FFEC6" w14:textId="2736DFD7" w:rsidR="001F4533" w:rsidRPr="006A3507" w:rsidRDefault="00D1639D" w:rsidP="00BA65F3">
            <w:pPr>
              <w:pStyle w:val="ListParagraph"/>
              <w:numPr>
                <w:ilvl w:val="0"/>
                <w:numId w:val="10"/>
              </w:numPr>
              <w:rPr>
                <w:sz w:val="20"/>
                <w:szCs w:val="20"/>
              </w:rPr>
            </w:pPr>
            <w:r w:rsidRPr="006A3507">
              <w:rPr>
                <w:sz w:val="20"/>
                <w:szCs w:val="20"/>
              </w:rPr>
              <w:t>At times, in order to protect the safety of the campus community, EOA may need to proceed with an investigation or othe</w:t>
            </w:r>
            <w:r w:rsidR="00D61E19" w:rsidRPr="006A3507">
              <w:rPr>
                <w:sz w:val="20"/>
                <w:szCs w:val="20"/>
              </w:rPr>
              <w:t>r appropriate action even if R</w:t>
            </w:r>
            <w:r w:rsidRPr="006A3507">
              <w:rPr>
                <w:sz w:val="20"/>
                <w:szCs w:val="20"/>
              </w:rPr>
              <w:t xml:space="preserve">eporting </w:t>
            </w:r>
            <w:r w:rsidR="00D61E19" w:rsidRPr="006A3507">
              <w:rPr>
                <w:sz w:val="20"/>
                <w:szCs w:val="20"/>
              </w:rPr>
              <w:t>P</w:t>
            </w:r>
            <w:r w:rsidRPr="006A3507">
              <w:rPr>
                <w:sz w:val="20"/>
                <w:szCs w:val="20"/>
              </w:rPr>
              <w:t>arty specifically requests that the matter not be pursued (see Section H for more information).</w:t>
            </w:r>
          </w:p>
          <w:p w14:paraId="4970D7FE" w14:textId="6B2B2C4B" w:rsidR="00DD6378" w:rsidRPr="006A3507" w:rsidRDefault="00BA65F3" w:rsidP="00EB7FA2">
            <w:pPr>
              <w:rPr>
                <w:sz w:val="20"/>
                <w:szCs w:val="20"/>
              </w:rPr>
            </w:pPr>
            <w:r w:rsidRPr="006A3507">
              <w:rPr>
                <w:noProof/>
                <w:sz w:val="20"/>
                <w:szCs w:val="20"/>
              </w:rPr>
              <mc:AlternateContent>
                <mc:Choice Requires="wps">
                  <w:drawing>
                    <wp:anchor distT="0" distB="0" distL="114300" distR="114300" simplePos="0" relativeHeight="251659264" behindDoc="0" locked="0" layoutInCell="1" allowOverlap="1" wp14:anchorId="0C09E954" wp14:editId="63C22898">
                      <wp:simplePos x="0" y="0"/>
                      <wp:positionH relativeFrom="margin">
                        <wp:posOffset>-75565</wp:posOffset>
                      </wp:positionH>
                      <wp:positionV relativeFrom="paragraph">
                        <wp:posOffset>97155</wp:posOffset>
                      </wp:positionV>
                      <wp:extent cx="9220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22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617296"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5.95pt,7.65pt" to="720.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" strokecolor="black [3200]" strokeweight=".5pt">
                      <v:stroke joinstyle="miter"/>
                      <w10:wrap anchorx="margin"/>
                    </v:line>
                  </w:pict>
                </mc:Fallback>
              </mc:AlternateContent>
            </w:r>
          </w:p>
          <w:p w14:paraId="4BD08480" w14:textId="77777777" w:rsidR="00DD6378" w:rsidRPr="006A3507" w:rsidRDefault="00DD6378" w:rsidP="00EB7FA2">
            <w:pPr>
              <w:rPr>
                <w:b/>
                <w:sz w:val="20"/>
                <w:szCs w:val="20"/>
              </w:rPr>
            </w:pPr>
            <w:r w:rsidRPr="006A3507">
              <w:rPr>
                <w:b/>
                <w:sz w:val="20"/>
                <w:szCs w:val="20"/>
              </w:rPr>
              <w:t>Phase Three:  Facilitate</w:t>
            </w:r>
            <w:r w:rsidR="00A90A85" w:rsidRPr="006A3507">
              <w:rPr>
                <w:b/>
                <w:sz w:val="20"/>
                <w:szCs w:val="20"/>
              </w:rPr>
              <w:t>d</w:t>
            </w:r>
            <w:r w:rsidRPr="006A3507">
              <w:rPr>
                <w:b/>
                <w:sz w:val="20"/>
                <w:szCs w:val="20"/>
              </w:rPr>
              <w:t xml:space="preserve"> Resolution or Investigation Process</w:t>
            </w:r>
          </w:p>
          <w:p w14:paraId="57201BE6" w14:textId="6EABB1CA" w:rsidR="00A90A85" w:rsidRPr="006A3507" w:rsidRDefault="00A90A85" w:rsidP="00EB7FA2">
            <w:pPr>
              <w:rPr>
                <w:b/>
                <w:sz w:val="20"/>
                <w:szCs w:val="20"/>
              </w:rPr>
            </w:pPr>
          </w:p>
        </w:tc>
      </w:tr>
      <w:tr w:rsidR="004B524E" w:rsidRPr="006A3507" w14:paraId="3B5EB6A9" w14:textId="77777777" w:rsidTr="00BA65F3">
        <w:trPr>
          <w:trHeight w:val="70"/>
        </w:trPr>
        <w:tc>
          <w:tcPr>
            <w:tcW w:w="5575" w:type="dxa"/>
          </w:tcPr>
          <w:p w14:paraId="440BE221" w14:textId="42C08B04" w:rsidR="004B524E" w:rsidRPr="006A3507" w:rsidRDefault="00692EF8" w:rsidP="004B524E">
            <w:pPr>
              <w:rPr>
                <w:b/>
                <w:sz w:val="20"/>
                <w:szCs w:val="20"/>
              </w:rPr>
            </w:pPr>
            <w:r w:rsidRPr="006A3507">
              <w:rPr>
                <w:b/>
                <w:sz w:val="20"/>
                <w:szCs w:val="20"/>
              </w:rPr>
              <w:t>Facilitated Resolution Process</w:t>
            </w:r>
            <w:r w:rsidR="008C58E6" w:rsidRPr="006A3507">
              <w:rPr>
                <w:rStyle w:val="FootnoteReference"/>
                <w:b/>
                <w:sz w:val="20"/>
                <w:szCs w:val="20"/>
              </w:rPr>
              <w:footnoteReference w:id="2"/>
            </w:r>
            <w:r w:rsidRPr="006A3507">
              <w:rPr>
                <w:b/>
                <w:sz w:val="20"/>
                <w:szCs w:val="20"/>
              </w:rPr>
              <w:t xml:space="preserve"> (Section </w:t>
            </w:r>
            <w:r w:rsidR="004A584B" w:rsidRPr="006A3507">
              <w:rPr>
                <w:b/>
                <w:sz w:val="20"/>
                <w:szCs w:val="20"/>
              </w:rPr>
              <w:t>I</w:t>
            </w:r>
            <w:r w:rsidRPr="006A3507">
              <w:rPr>
                <w:b/>
                <w:sz w:val="20"/>
                <w:szCs w:val="20"/>
              </w:rPr>
              <w:t>)</w:t>
            </w:r>
          </w:p>
          <w:p w14:paraId="6FA1E7CD" w14:textId="77777777" w:rsidR="00293095" w:rsidRPr="006A3507" w:rsidRDefault="00293095" w:rsidP="004B524E">
            <w:pPr>
              <w:rPr>
                <w:b/>
                <w:sz w:val="20"/>
                <w:szCs w:val="20"/>
              </w:rPr>
            </w:pPr>
          </w:p>
          <w:p w14:paraId="16EEDFC3" w14:textId="7E37E8C4" w:rsidR="00692EF8" w:rsidRPr="006A3507" w:rsidRDefault="00EA1E1D" w:rsidP="000069B1">
            <w:pPr>
              <w:pStyle w:val="ListParagraph"/>
              <w:numPr>
                <w:ilvl w:val="0"/>
                <w:numId w:val="1"/>
              </w:numPr>
              <w:ind w:left="330" w:hanging="330"/>
              <w:rPr>
                <w:sz w:val="20"/>
                <w:szCs w:val="20"/>
              </w:rPr>
            </w:pPr>
            <w:r w:rsidRPr="006A3507">
              <w:rPr>
                <w:sz w:val="20"/>
                <w:szCs w:val="20"/>
              </w:rPr>
              <w:t>Intake and Assessment Associate or Equity Associate</w:t>
            </w:r>
            <w:r w:rsidR="00692EF8" w:rsidRPr="006A3507">
              <w:rPr>
                <w:sz w:val="20"/>
                <w:szCs w:val="20"/>
              </w:rPr>
              <w:t xml:space="preserve"> meets with Reporting Party to </w:t>
            </w:r>
            <w:r w:rsidR="00365E34" w:rsidRPr="006A3507">
              <w:rPr>
                <w:sz w:val="20"/>
                <w:szCs w:val="20"/>
              </w:rPr>
              <w:t xml:space="preserve">explore options for resolution. </w:t>
            </w:r>
          </w:p>
          <w:p w14:paraId="6FF9032E" w14:textId="01AC16F2" w:rsidR="00692EF8" w:rsidRPr="006A3507" w:rsidRDefault="00692EF8" w:rsidP="005F0E51">
            <w:pPr>
              <w:pStyle w:val="ListParagraph"/>
              <w:numPr>
                <w:ilvl w:val="0"/>
                <w:numId w:val="1"/>
              </w:numPr>
              <w:ind w:left="330" w:hanging="330"/>
              <w:rPr>
                <w:sz w:val="20"/>
                <w:szCs w:val="20"/>
              </w:rPr>
            </w:pPr>
            <w:r w:rsidRPr="006A3507">
              <w:rPr>
                <w:sz w:val="20"/>
                <w:szCs w:val="20"/>
              </w:rPr>
              <w:t>If</w:t>
            </w:r>
            <w:r w:rsidR="00365E34" w:rsidRPr="006A3507">
              <w:rPr>
                <w:sz w:val="20"/>
                <w:szCs w:val="20"/>
              </w:rPr>
              <w:t xml:space="preserve"> Reporting Party’s request for</w:t>
            </w:r>
            <w:r w:rsidRPr="006A3507">
              <w:rPr>
                <w:sz w:val="20"/>
                <w:szCs w:val="20"/>
              </w:rPr>
              <w:t xml:space="preserve"> facili</w:t>
            </w:r>
            <w:r w:rsidR="00777367" w:rsidRPr="006A3507">
              <w:rPr>
                <w:sz w:val="20"/>
                <w:szCs w:val="20"/>
              </w:rPr>
              <w:t xml:space="preserve">tated resolution </w:t>
            </w:r>
            <w:r w:rsidRPr="006A3507">
              <w:rPr>
                <w:sz w:val="20"/>
                <w:szCs w:val="20"/>
              </w:rPr>
              <w:t>involve</w:t>
            </w:r>
            <w:r w:rsidR="00365E34" w:rsidRPr="006A3507">
              <w:rPr>
                <w:sz w:val="20"/>
                <w:szCs w:val="20"/>
              </w:rPr>
              <w:t>s</w:t>
            </w:r>
            <w:r w:rsidRPr="006A3507">
              <w:rPr>
                <w:sz w:val="20"/>
                <w:szCs w:val="20"/>
              </w:rPr>
              <w:t xml:space="preserve"> or impact</w:t>
            </w:r>
            <w:r w:rsidR="00365E34" w:rsidRPr="006A3507">
              <w:rPr>
                <w:sz w:val="20"/>
                <w:szCs w:val="20"/>
              </w:rPr>
              <w:t>s</w:t>
            </w:r>
            <w:r w:rsidRPr="006A3507">
              <w:rPr>
                <w:sz w:val="20"/>
                <w:szCs w:val="20"/>
              </w:rPr>
              <w:t xml:space="preserve"> </w:t>
            </w:r>
            <w:r w:rsidR="0077508E" w:rsidRPr="006A3507">
              <w:rPr>
                <w:sz w:val="20"/>
                <w:szCs w:val="20"/>
              </w:rPr>
              <w:t>R</w:t>
            </w:r>
            <w:r w:rsidRPr="006A3507">
              <w:rPr>
                <w:sz w:val="20"/>
                <w:szCs w:val="20"/>
              </w:rPr>
              <w:t xml:space="preserve">esponding </w:t>
            </w:r>
            <w:r w:rsidR="0077508E" w:rsidRPr="006A3507">
              <w:rPr>
                <w:sz w:val="20"/>
                <w:szCs w:val="20"/>
              </w:rPr>
              <w:t>P</w:t>
            </w:r>
            <w:r w:rsidRPr="006A3507">
              <w:rPr>
                <w:sz w:val="20"/>
                <w:szCs w:val="20"/>
              </w:rPr>
              <w:t xml:space="preserve">arty, </w:t>
            </w:r>
            <w:r w:rsidR="00F15E67" w:rsidRPr="006A3507">
              <w:rPr>
                <w:sz w:val="20"/>
                <w:szCs w:val="20"/>
              </w:rPr>
              <w:t>EOA</w:t>
            </w:r>
            <w:r w:rsidRPr="006A3507">
              <w:rPr>
                <w:sz w:val="20"/>
                <w:szCs w:val="20"/>
              </w:rPr>
              <w:t xml:space="preserve"> </w:t>
            </w:r>
            <w:r w:rsidR="00C939EF" w:rsidRPr="006A3507">
              <w:rPr>
                <w:sz w:val="20"/>
                <w:szCs w:val="20"/>
              </w:rPr>
              <w:t xml:space="preserve">coordinates with </w:t>
            </w:r>
            <w:r w:rsidR="004A584B" w:rsidRPr="006A3507">
              <w:rPr>
                <w:sz w:val="20"/>
                <w:szCs w:val="20"/>
              </w:rPr>
              <w:t>Employee and Labor Relations</w:t>
            </w:r>
            <w:r w:rsidR="000D7C36" w:rsidRPr="006A3507">
              <w:rPr>
                <w:sz w:val="20"/>
                <w:szCs w:val="20"/>
              </w:rPr>
              <w:t>,</w:t>
            </w:r>
            <w:r w:rsidR="00C939EF" w:rsidRPr="006A3507">
              <w:rPr>
                <w:sz w:val="20"/>
                <w:szCs w:val="20"/>
              </w:rPr>
              <w:t xml:space="preserve"> </w:t>
            </w:r>
            <w:r w:rsidR="000D7C36" w:rsidRPr="006A3507">
              <w:rPr>
                <w:sz w:val="20"/>
                <w:szCs w:val="20"/>
              </w:rPr>
              <w:t xml:space="preserve">and </w:t>
            </w:r>
            <w:r w:rsidRPr="006A3507">
              <w:rPr>
                <w:sz w:val="20"/>
                <w:szCs w:val="20"/>
              </w:rPr>
              <w:t>notifies</w:t>
            </w:r>
            <w:r w:rsidR="00CE6461" w:rsidRPr="006A3507">
              <w:rPr>
                <w:sz w:val="20"/>
                <w:szCs w:val="20"/>
              </w:rPr>
              <w:t xml:space="preserve"> </w:t>
            </w:r>
            <w:r w:rsidRPr="006A3507">
              <w:rPr>
                <w:sz w:val="20"/>
                <w:szCs w:val="20"/>
              </w:rPr>
              <w:t xml:space="preserve">Responding Party, </w:t>
            </w:r>
            <w:r w:rsidR="00365E34" w:rsidRPr="006A3507">
              <w:rPr>
                <w:sz w:val="20"/>
                <w:szCs w:val="20"/>
              </w:rPr>
              <w:t>a</w:t>
            </w:r>
            <w:r w:rsidRPr="006A3507">
              <w:rPr>
                <w:sz w:val="20"/>
                <w:szCs w:val="20"/>
              </w:rPr>
              <w:t xml:space="preserve">ssesses </w:t>
            </w:r>
            <w:r w:rsidR="000D7C36" w:rsidRPr="006A3507">
              <w:rPr>
                <w:sz w:val="20"/>
                <w:szCs w:val="20"/>
              </w:rPr>
              <w:t xml:space="preserve">the </w:t>
            </w:r>
            <w:r w:rsidRPr="006A3507">
              <w:rPr>
                <w:sz w:val="20"/>
                <w:szCs w:val="20"/>
              </w:rPr>
              <w:t xml:space="preserve">willingness </w:t>
            </w:r>
            <w:r w:rsidR="00AF4F73" w:rsidRPr="006A3507">
              <w:rPr>
                <w:sz w:val="20"/>
                <w:szCs w:val="20"/>
              </w:rPr>
              <w:t xml:space="preserve">of Responding Party </w:t>
            </w:r>
            <w:r w:rsidRPr="006A3507">
              <w:rPr>
                <w:sz w:val="20"/>
                <w:szCs w:val="20"/>
              </w:rPr>
              <w:t>to participate</w:t>
            </w:r>
            <w:r w:rsidR="000235B6" w:rsidRPr="006A3507">
              <w:rPr>
                <w:sz w:val="20"/>
                <w:szCs w:val="20"/>
              </w:rPr>
              <w:t>,</w:t>
            </w:r>
            <w:r w:rsidRPr="006A3507">
              <w:rPr>
                <w:sz w:val="20"/>
                <w:szCs w:val="20"/>
              </w:rPr>
              <w:t xml:space="preserve"> </w:t>
            </w:r>
            <w:r w:rsidR="00365E34" w:rsidRPr="006A3507">
              <w:rPr>
                <w:sz w:val="20"/>
                <w:szCs w:val="20"/>
              </w:rPr>
              <w:t>and offers</w:t>
            </w:r>
            <w:r w:rsidR="00CA3329" w:rsidRPr="006A3507">
              <w:rPr>
                <w:sz w:val="20"/>
                <w:szCs w:val="20"/>
              </w:rPr>
              <w:t xml:space="preserve"> </w:t>
            </w:r>
            <w:r w:rsidR="00365E34" w:rsidRPr="006A3507">
              <w:rPr>
                <w:sz w:val="20"/>
                <w:szCs w:val="20"/>
              </w:rPr>
              <w:t>appropriate resources.</w:t>
            </w:r>
            <w:r w:rsidR="00CA3329" w:rsidRPr="006A3507">
              <w:rPr>
                <w:sz w:val="20"/>
                <w:szCs w:val="20"/>
              </w:rPr>
              <w:t xml:space="preserve"> </w:t>
            </w:r>
            <w:r w:rsidR="00F15E67" w:rsidRPr="006A3507">
              <w:rPr>
                <w:sz w:val="20"/>
                <w:szCs w:val="20"/>
              </w:rPr>
              <w:t>EOA</w:t>
            </w:r>
            <w:r w:rsidRPr="006A3507">
              <w:rPr>
                <w:sz w:val="20"/>
                <w:szCs w:val="20"/>
              </w:rPr>
              <w:t xml:space="preserve"> works with both parties</w:t>
            </w:r>
            <w:r w:rsidR="00365E34" w:rsidRPr="006A3507">
              <w:rPr>
                <w:sz w:val="20"/>
                <w:szCs w:val="20"/>
              </w:rPr>
              <w:t xml:space="preserve"> toward </w:t>
            </w:r>
            <w:r w:rsidRPr="006A3507">
              <w:rPr>
                <w:sz w:val="20"/>
                <w:szCs w:val="20"/>
              </w:rPr>
              <w:t>mutually agreed resolution.</w:t>
            </w:r>
          </w:p>
          <w:p w14:paraId="2A25FA15" w14:textId="77777777" w:rsidR="006A3507" w:rsidRDefault="006A3507" w:rsidP="00A90A85">
            <w:pPr>
              <w:pStyle w:val="ListParagraph"/>
              <w:ind w:left="330"/>
              <w:rPr>
                <w:b/>
                <w:sz w:val="20"/>
                <w:szCs w:val="20"/>
              </w:rPr>
            </w:pPr>
          </w:p>
          <w:p w14:paraId="41F8FFBB" w14:textId="79CC354E" w:rsidR="00A90A85" w:rsidRDefault="00A90A85" w:rsidP="004B13F1">
            <w:pPr>
              <w:pStyle w:val="ListParagraph"/>
              <w:ind w:left="330" w:hanging="360"/>
              <w:rPr>
                <w:b/>
                <w:sz w:val="20"/>
                <w:szCs w:val="20"/>
              </w:rPr>
            </w:pPr>
            <w:r w:rsidRPr="006A3507">
              <w:rPr>
                <w:b/>
                <w:sz w:val="20"/>
                <w:szCs w:val="20"/>
              </w:rPr>
              <w:t>Continued on next page</w:t>
            </w:r>
          </w:p>
          <w:p w14:paraId="3EFBF851" w14:textId="22DD8168" w:rsidR="00692EF8" w:rsidRPr="004B13F1" w:rsidRDefault="00F15E67" w:rsidP="004B13F1">
            <w:pPr>
              <w:pStyle w:val="ListParagraph"/>
              <w:numPr>
                <w:ilvl w:val="0"/>
                <w:numId w:val="1"/>
              </w:numPr>
              <w:ind w:left="330" w:hanging="330"/>
              <w:rPr>
                <w:sz w:val="20"/>
                <w:szCs w:val="20"/>
              </w:rPr>
            </w:pPr>
            <w:r w:rsidRPr="004B13F1">
              <w:rPr>
                <w:sz w:val="20"/>
                <w:szCs w:val="20"/>
              </w:rPr>
              <w:lastRenderedPageBreak/>
              <w:t>EOA</w:t>
            </w:r>
            <w:r w:rsidR="00692EF8" w:rsidRPr="004B13F1">
              <w:rPr>
                <w:sz w:val="20"/>
                <w:szCs w:val="20"/>
              </w:rPr>
              <w:t xml:space="preserve"> documents the Facilitated Resolution.</w:t>
            </w:r>
          </w:p>
          <w:p w14:paraId="637217F6" w14:textId="5F6B16E4" w:rsidR="00692EF8" w:rsidRPr="006A3507" w:rsidRDefault="00365E34" w:rsidP="000069B1">
            <w:pPr>
              <w:pStyle w:val="ListParagraph"/>
              <w:numPr>
                <w:ilvl w:val="0"/>
                <w:numId w:val="1"/>
              </w:numPr>
              <w:ind w:left="330" w:hanging="330"/>
              <w:rPr>
                <w:sz w:val="20"/>
                <w:szCs w:val="20"/>
              </w:rPr>
            </w:pPr>
            <w:r w:rsidRPr="006A3507">
              <w:rPr>
                <w:sz w:val="20"/>
                <w:szCs w:val="20"/>
              </w:rPr>
              <w:t>Upon completion, the m</w:t>
            </w:r>
            <w:r w:rsidR="00692EF8" w:rsidRPr="006A3507">
              <w:rPr>
                <w:sz w:val="20"/>
                <w:szCs w:val="20"/>
              </w:rPr>
              <w:t>atter is considered closed</w:t>
            </w:r>
            <w:r w:rsidR="00D61E19" w:rsidRPr="006A3507">
              <w:rPr>
                <w:sz w:val="20"/>
                <w:szCs w:val="20"/>
              </w:rPr>
              <w:t xml:space="preserve"> and cannot be appealed or investigated.</w:t>
            </w:r>
          </w:p>
          <w:p w14:paraId="2613A135" w14:textId="77777777" w:rsidR="00C939EF" w:rsidRPr="006A3507" w:rsidRDefault="001F4533" w:rsidP="00CA3329">
            <w:pPr>
              <w:pStyle w:val="ListParagraph"/>
              <w:numPr>
                <w:ilvl w:val="0"/>
                <w:numId w:val="1"/>
              </w:numPr>
              <w:ind w:left="340" w:hanging="340"/>
              <w:rPr>
                <w:sz w:val="20"/>
                <w:szCs w:val="20"/>
              </w:rPr>
            </w:pPr>
            <w:r w:rsidRPr="006A3507">
              <w:rPr>
                <w:sz w:val="20"/>
                <w:szCs w:val="20"/>
              </w:rPr>
              <w:t>Reporting Party, Responding Party, or Equity Associate may at any time, prior to closure of the matter, elect to withdraw from or terminate the Facilitated Resolution process. In this event, the Equity Associate would determine if, absent a successful Facilitated Resolution, investigation is an option or otherwise necessary.</w:t>
            </w:r>
          </w:p>
          <w:p w14:paraId="5024507F" w14:textId="68DDF52D" w:rsidR="00FF147E" w:rsidRPr="006A3507" w:rsidRDefault="00FF147E" w:rsidP="00FF147E">
            <w:pPr>
              <w:pStyle w:val="ListParagraph"/>
              <w:ind w:left="340"/>
              <w:rPr>
                <w:sz w:val="20"/>
                <w:szCs w:val="20"/>
              </w:rPr>
            </w:pPr>
          </w:p>
        </w:tc>
        <w:tc>
          <w:tcPr>
            <w:tcW w:w="8959" w:type="dxa"/>
          </w:tcPr>
          <w:p w14:paraId="2D94E6CE" w14:textId="79BFB767" w:rsidR="001F4533" w:rsidRPr="006A3507" w:rsidRDefault="00692EF8" w:rsidP="001F4533">
            <w:pPr>
              <w:pStyle w:val="ListParagraph"/>
              <w:ind w:left="301" w:hanging="301"/>
              <w:rPr>
                <w:sz w:val="20"/>
                <w:szCs w:val="20"/>
              </w:rPr>
            </w:pPr>
            <w:r w:rsidRPr="006A3507">
              <w:rPr>
                <w:b/>
                <w:sz w:val="20"/>
                <w:szCs w:val="20"/>
              </w:rPr>
              <w:lastRenderedPageBreak/>
              <w:t xml:space="preserve">Investigation Process (Section </w:t>
            </w:r>
            <w:r w:rsidR="004A584B" w:rsidRPr="006A3507">
              <w:rPr>
                <w:b/>
                <w:sz w:val="20"/>
                <w:szCs w:val="20"/>
              </w:rPr>
              <w:t>J</w:t>
            </w:r>
            <w:r w:rsidRPr="006A3507">
              <w:rPr>
                <w:b/>
                <w:sz w:val="20"/>
                <w:szCs w:val="20"/>
              </w:rPr>
              <w:t>)</w:t>
            </w:r>
            <w:r w:rsidR="001F4533" w:rsidRPr="006A3507">
              <w:rPr>
                <w:sz w:val="20"/>
                <w:szCs w:val="20"/>
              </w:rPr>
              <w:t xml:space="preserve"> </w:t>
            </w:r>
          </w:p>
          <w:p w14:paraId="193D6105" w14:textId="77777777" w:rsidR="00DD6378" w:rsidRPr="006A3507" w:rsidRDefault="00DD6378" w:rsidP="00DD6378">
            <w:pPr>
              <w:pStyle w:val="ListParagraph"/>
              <w:ind w:left="301"/>
              <w:rPr>
                <w:sz w:val="20"/>
                <w:szCs w:val="20"/>
              </w:rPr>
            </w:pPr>
          </w:p>
          <w:p w14:paraId="69334D2A" w14:textId="511DEF47" w:rsidR="009C129E" w:rsidRPr="006A3507" w:rsidRDefault="00293095" w:rsidP="00DD6378">
            <w:pPr>
              <w:pStyle w:val="ListParagraph"/>
              <w:numPr>
                <w:ilvl w:val="0"/>
                <w:numId w:val="2"/>
              </w:numPr>
              <w:ind w:left="301" w:hanging="301"/>
              <w:rPr>
                <w:sz w:val="20"/>
                <w:szCs w:val="20"/>
              </w:rPr>
            </w:pPr>
            <w:r w:rsidRPr="006A3507">
              <w:rPr>
                <w:sz w:val="20"/>
                <w:szCs w:val="20"/>
              </w:rPr>
              <w:t xml:space="preserve">Equity Associate sends Responding Party a Notice of Investigation, including </w:t>
            </w:r>
            <w:r w:rsidR="00EA1E1D" w:rsidRPr="006A3507">
              <w:rPr>
                <w:sz w:val="20"/>
                <w:szCs w:val="20"/>
              </w:rPr>
              <w:t xml:space="preserve">allegations, </w:t>
            </w:r>
            <w:r w:rsidRPr="006A3507">
              <w:rPr>
                <w:sz w:val="20"/>
                <w:szCs w:val="20"/>
              </w:rPr>
              <w:t xml:space="preserve">alleged Policy violations, and </w:t>
            </w:r>
            <w:r w:rsidR="00EA1E1D" w:rsidRPr="006A3507">
              <w:rPr>
                <w:sz w:val="20"/>
                <w:szCs w:val="20"/>
              </w:rPr>
              <w:t>a request</w:t>
            </w:r>
            <w:r w:rsidRPr="006A3507">
              <w:rPr>
                <w:sz w:val="20"/>
                <w:szCs w:val="20"/>
              </w:rPr>
              <w:t xml:space="preserve"> to meet.</w:t>
            </w:r>
            <w:r w:rsidRPr="006A3507">
              <w:rPr>
                <w:rStyle w:val="FootnoteReference"/>
                <w:sz w:val="20"/>
                <w:szCs w:val="20"/>
              </w:rPr>
              <w:footnoteReference w:id="3"/>
            </w:r>
            <w:r w:rsidRPr="006A3507">
              <w:rPr>
                <w:sz w:val="20"/>
                <w:szCs w:val="20"/>
              </w:rPr>
              <w:t xml:space="preserve">  Reporting Party receives a Notice of Acknowledgment of the alleged Policy violations.</w:t>
            </w:r>
          </w:p>
          <w:p w14:paraId="5C741768" w14:textId="3B662254" w:rsidR="00DD6378" w:rsidRPr="006A3507" w:rsidRDefault="00DD6378" w:rsidP="00DD6378">
            <w:pPr>
              <w:pStyle w:val="ListParagraph"/>
              <w:numPr>
                <w:ilvl w:val="0"/>
                <w:numId w:val="2"/>
              </w:numPr>
              <w:ind w:left="301" w:hanging="301"/>
              <w:rPr>
                <w:sz w:val="20"/>
                <w:szCs w:val="20"/>
              </w:rPr>
            </w:pPr>
            <w:r w:rsidRPr="006A3507">
              <w:rPr>
                <w:sz w:val="20"/>
                <w:szCs w:val="20"/>
              </w:rPr>
              <w:t xml:space="preserve">Equity Associate meets with Responding Party to review process and provide information on </w:t>
            </w:r>
            <w:r w:rsidR="00AF4F73" w:rsidRPr="006A3507">
              <w:rPr>
                <w:sz w:val="20"/>
                <w:szCs w:val="20"/>
              </w:rPr>
              <w:t xml:space="preserve">available </w:t>
            </w:r>
            <w:r w:rsidRPr="006A3507">
              <w:rPr>
                <w:sz w:val="20"/>
                <w:szCs w:val="20"/>
              </w:rPr>
              <w:t>resources and assistance, and offers an opportunity to submit a written statement.</w:t>
            </w:r>
          </w:p>
          <w:p w14:paraId="5540ED2C" w14:textId="7EBD222D" w:rsidR="00DD6378" w:rsidRPr="006A3507" w:rsidRDefault="00DD6378" w:rsidP="00DD6378">
            <w:pPr>
              <w:pStyle w:val="ListParagraph"/>
              <w:numPr>
                <w:ilvl w:val="0"/>
                <w:numId w:val="2"/>
              </w:numPr>
              <w:ind w:left="301" w:hanging="301"/>
              <w:rPr>
                <w:sz w:val="20"/>
                <w:szCs w:val="20"/>
              </w:rPr>
            </w:pPr>
            <w:r w:rsidRPr="006A3507">
              <w:rPr>
                <w:sz w:val="20"/>
                <w:szCs w:val="20"/>
              </w:rPr>
              <w:t>Equity Associate conducts an investigation by gathering relevant information, which includes reviewing documents and interviewing parties and witnesses.</w:t>
            </w:r>
          </w:p>
          <w:p w14:paraId="38D5103C" w14:textId="167BBFBC" w:rsidR="00DD6378" w:rsidRPr="006A3507" w:rsidRDefault="00DD6378" w:rsidP="00DD6378">
            <w:pPr>
              <w:pStyle w:val="ListParagraph"/>
              <w:numPr>
                <w:ilvl w:val="0"/>
                <w:numId w:val="2"/>
              </w:numPr>
              <w:ind w:left="301" w:hanging="301"/>
              <w:rPr>
                <w:sz w:val="20"/>
                <w:szCs w:val="20"/>
              </w:rPr>
            </w:pPr>
            <w:r w:rsidRPr="006A3507">
              <w:rPr>
                <w:sz w:val="20"/>
                <w:szCs w:val="20"/>
              </w:rPr>
              <w:t>When the investigation is complete, Equity Associate prepares a Draft Investigation Report.</w:t>
            </w:r>
          </w:p>
          <w:p w14:paraId="02A2276B" w14:textId="77777777" w:rsidR="006A3507" w:rsidRPr="006A3507" w:rsidRDefault="006A3507" w:rsidP="006A3507">
            <w:pPr>
              <w:pStyle w:val="ListParagraph"/>
              <w:ind w:left="301"/>
              <w:rPr>
                <w:sz w:val="20"/>
                <w:szCs w:val="20"/>
              </w:rPr>
            </w:pPr>
          </w:p>
          <w:p w14:paraId="543695B4" w14:textId="508FBD0F" w:rsidR="006A3507" w:rsidRPr="004B13F1" w:rsidRDefault="006A3507" w:rsidP="004B13F1">
            <w:pPr>
              <w:pStyle w:val="ListParagraph"/>
              <w:ind w:left="301" w:hanging="301"/>
              <w:rPr>
                <w:sz w:val="20"/>
                <w:szCs w:val="20"/>
              </w:rPr>
            </w:pPr>
            <w:r w:rsidRPr="006A3507">
              <w:rPr>
                <w:b/>
                <w:sz w:val="20"/>
                <w:szCs w:val="20"/>
              </w:rPr>
              <w:t>Continued on next page</w:t>
            </w:r>
          </w:p>
          <w:p w14:paraId="3C7A4A83" w14:textId="6240F3A3" w:rsidR="00EA1E1D" w:rsidRPr="006A3507" w:rsidRDefault="00DD6378" w:rsidP="006A3507">
            <w:pPr>
              <w:pStyle w:val="ListParagraph"/>
              <w:numPr>
                <w:ilvl w:val="0"/>
                <w:numId w:val="2"/>
              </w:numPr>
              <w:ind w:left="301" w:hanging="301"/>
              <w:rPr>
                <w:sz w:val="20"/>
                <w:szCs w:val="20"/>
              </w:rPr>
            </w:pPr>
            <w:r w:rsidRPr="006A3507">
              <w:rPr>
                <w:sz w:val="20"/>
                <w:szCs w:val="20"/>
              </w:rPr>
              <w:lastRenderedPageBreak/>
              <w:t>Parties have the opportunity to review and submit a rebuttal to the Draft Investigation Report.</w:t>
            </w:r>
          </w:p>
          <w:p w14:paraId="7DFA9A1C" w14:textId="2AD77611" w:rsidR="00DD6378" w:rsidRPr="006A3507" w:rsidRDefault="00DD6378" w:rsidP="00DD6378">
            <w:pPr>
              <w:pStyle w:val="ListParagraph"/>
              <w:numPr>
                <w:ilvl w:val="0"/>
                <w:numId w:val="2"/>
              </w:numPr>
              <w:ind w:left="301" w:hanging="301"/>
              <w:rPr>
                <w:sz w:val="20"/>
                <w:szCs w:val="20"/>
              </w:rPr>
            </w:pPr>
            <w:r w:rsidRPr="006A3507">
              <w:rPr>
                <w:sz w:val="20"/>
                <w:szCs w:val="20"/>
              </w:rPr>
              <w:t xml:space="preserve">Equity Associate considers </w:t>
            </w:r>
            <w:r w:rsidR="00AF4F73" w:rsidRPr="006A3507">
              <w:rPr>
                <w:sz w:val="20"/>
                <w:szCs w:val="20"/>
              </w:rPr>
              <w:t xml:space="preserve">any </w:t>
            </w:r>
            <w:r w:rsidRPr="006A3507">
              <w:rPr>
                <w:sz w:val="20"/>
                <w:szCs w:val="20"/>
              </w:rPr>
              <w:t>new information</w:t>
            </w:r>
            <w:r w:rsidR="00AF4F73" w:rsidRPr="006A3507">
              <w:rPr>
                <w:sz w:val="20"/>
                <w:szCs w:val="20"/>
              </w:rPr>
              <w:t xml:space="preserve"> raised in</w:t>
            </w:r>
            <w:r w:rsidRPr="006A3507">
              <w:rPr>
                <w:sz w:val="20"/>
                <w:szCs w:val="20"/>
              </w:rPr>
              <w:t xml:space="preserve"> </w:t>
            </w:r>
            <w:r w:rsidR="00AF4F73" w:rsidRPr="006A3507">
              <w:rPr>
                <w:sz w:val="20"/>
                <w:szCs w:val="20"/>
              </w:rPr>
              <w:t>or</w:t>
            </w:r>
            <w:r w:rsidRPr="006A3507">
              <w:rPr>
                <w:sz w:val="20"/>
                <w:szCs w:val="20"/>
              </w:rPr>
              <w:t xml:space="preserve"> requests in parties’ rebuttal statements, conducts further investigation as appropriate, and submits Final Investigation Report to the Associate </w:t>
            </w:r>
            <w:proofErr w:type="gramStart"/>
            <w:r w:rsidRPr="006A3507">
              <w:rPr>
                <w:sz w:val="20"/>
                <w:szCs w:val="20"/>
              </w:rPr>
              <w:t>Vice</w:t>
            </w:r>
            <w:proofErr w:type="gramEnd"/>
            <w:r w:rsidRPr="006A3507">
              <w:rPr>
                <w:sz w:val="20"/>
                <w:szCs w:val="20"/>
              </w:rPr>
              <w:t xml:space="preserve"> Provost and Senior Director of Employee and Labor Relations for adjudication</w:t>
            </w:r>
            <w:r w:rsidR="00AF4F73" w:rsidRPr="006A3507">
              <w:rPr>
                <w:sz w:val="20"/>
                <w:szCs w:val="20"/>
              </w:rPr>
              <w:t>, with copies to the parties</w:t>
            </w:r>
            <w:r w:rsidRPr="006A3507">
              <w:rPr>
                <w:sz w:val="20"/>
                <w:szCs w:val="20"/>
              </w:rPr>
              <w:t>.</w:t>
            </w:r>
          </w:p>
          <w:p w14:paraId="00EDBC55" w14:textId="3FDE4B04" w:rsidR="00DD6378" w:rsidRPr="006A3507" w:rsidRDefault="00DD6378" w:rsidP="00CE6461">
            <w:pPr>
              <w:rPr>
                <w:sz w:val="20"/>
                <w:szCs w:val="20"/>
              </w:rPr>
            </w:pPr>
          </w:p>
        </w:tc>
      </w:tr>
      <w:tr w:rsidR="00293095" w:rsidRPr="006A3507" w14:paraId="0EB677D7" w14:textId="77777777" w:rsidTr="00293095">
        <w:tc>
          <w:tcPr>
            <w:tcW w:w="14534" w:type="dxa"/>
            <w:gridSpan w:val="2"/>
          </w:tcPr>
          <w:p w14:paraId="5A07A436" w14:textId="11E21983" w:rsidR="00293095" w:rsidRPr="006A3507" w:rsidRDefault="00293095" w:rsidP="00293095">
            <w:pPr>
              <w:rPr>
                <w:b/>
                <w:sz w:val="20"/>
                <w:szCs w:val="20"/>
              </w:rPr>
            </w:pPr>
            <w:r w:rsidRPr="006A3507">
              <w:rPr>
                <w:b/>
                <w:sz w:val="20"/>
                <w:szCs w:val="20"/>
              </w:rPr>
              <w:lastRenderedPageBreak/>
              <w:t>Phase Four:  Adjudication</w:t>
            </w:r>
            <w:r w:rsidR="00BA65F3" w:rsidRPr="006A3507">
              <w:rPr>
                <w:b/>
                <w:sz w:val="20"/>
                <w:szCs w:val="20"/>
              </w:rPr>
              <w:t xml:space="preserve"> and Resolution</w:t>
            </w:r>
            <w:r w:rsidR="006A3507">
              <w:rPr>
                <w:b/>
                <w:sz w:val="20"/>
                <w:szCs w:val="20"/>
              </w:rPr>
              <w:t xml:space="preserve">, </w:t>
            </w:r>
            <w:r w:rsidR="00D03014" w:rsidRPr="006A3507">
              <w:rPr>
                <w:b/>
                <w:sz w:val="20"/>
                <w:szCs w:val="20"/>
              </w:rPr>
              <w:t>for complai</w:t>
            </w:r>
            <w:r w:rsidR="006A3507">
              <w:rPr>
                <w:b/>
                <w:sz w:val="20"/>
                <w:szCs w:val="20"/>
              </w:rPr>
              <w:t>nts that have been investigated</w:t>
            </w:r>
            <w:r w:rsidR="00BA65F3" w:rsidRPr="006A3507">
              <w:rPr>
                <w:b/>
                <w:sz w:val="20"/>
                <w:szCs w:val="20"/>
              </w:rPr>
              <w:t xml:space="preserve"> (Section J.8 and 9)</w:t>
            </w:r>
          </w:p>
          <w:p w14:paraId="2411DC49" w14:textId="77777777" w:rsidR="00BA65F3" w:rsidRPr="006A3507" w:rsidRDefault="00BA65F3" w:rsidP="00293095">
            <w:pPr>
              <w:rPr>
                <w:b/>
                <w:sz w:val="20"/>
                <w:szCs w:val="20"/>
              </w:rPr>
            </w:pPr>
          </w:p>
          <w:p w14:paraId="49546A5A" w14:textId="68022BF6" w:rsidR="000D7C36" w:rsidRPr="006A3507" w:rsidRDefault="000D7C36" w:rsidP="00BA65F3">
            <w:pPr>
              <w:pStyle w:val="ListParagraph"/>
              <w:numPr>
                <w:ilvl w:val="0"/>
                <w:numId w:val="7"/>
              </w:numPr>
              <w:ind w:left="330" w:hanging="330"/>
              <w:rPr>
                <w:sz w:val="20"/>
                <w:szCs w:val="20"/>
              </w:rPr>
            </w:pPr>
            <w:r w:rsidRPr="006A3507">
              <w:rPr>
                <w:sz w:val="20"/>
                <w:szCs w:val="20"/>
              </w:rPr>
              <w:t xml:space="preserve">The Associate </w:t>
            </w:r>
            <w:proofErr w:type="gramStart"/>
            <w:r w:rsidRPr="006A3507">
              <w:rPr>
                <w:sz w:val="20"/>
                <w:szCs w:val="20"/>
              </w:rPr>
              <w:t>Vice</w:t>
            </w:r>
            <w:proofErr w:type="gramEnd"/>
            <w:r w:rsidRPr="006A3507">
              <w:rPr>
                <w:sz w:val="20"/>
                <w:szCs w:val="20"/>
              </w:rPr>
              <w:t xml:space="preserve"> Provost/Senior Director of Employee and Labor Relations, or designee, serves as Adjudicator.</w:t>
            </w:r>
          </w:p>
          <w:p w14:paraId="7DABCCFF" w14:textId="4A548DBD" w:rsidR="00293095" w:rsidRPr="006A3507" w:rsidRDefault="00CE6461" w:rsidP="00BA65F3">
            <w:pPr>
              <w:pStyle w:val="ListParagraph"/>
              <w:numPr>
                <w:ilvl w:val="0"/>
                <w:numId w:val="7"/>
              </w:numPr>
              <w:ind w:left="330" w:hanging="330"/>
              <w:rPr>
                <w:sz w:val="20"/>
                <w:szCs w:val="20"/>
              </w:rPr>
            </w:pPr>
            <w:r w:rsidRPr="006A3507">
              <w:rPr>
                <w:sz w:val="20"/>
                <w:szCs w:val="20"/>
              </w:rPr>
              <w:t xml:space="preserve">The </w:t>
            </w:r>
            <w:r w:rsidR="00293095" w:rsidRPr="006A3507">
              <w:rPr>
                <w:sz w:val="20"/>
                <w:szCs w:val="20"/>
              </w:rPr>
              <w:t>Adjudicator may request clarification or further information from Equity Associate.</w:t>
            </w:r>
          </w:p>
          <w:p w14:paraId="42E43C36" w14:textId="0393CF5D" w:rsidR="00293095" w:rsidRPr="006A3507" w:rsidRDefault="00CE6461" w:rsidP="00BA65F3">
            <w:pPr>
              <w:pStyle w:val="ListParagraph"/>
              <w:numPr>
                <w:ilvl w:val="0"/>
                <w:numId w:val="7"/>
              </w:numPr>
              <w:ind w:left="330" w:hanging="330"/>
              <w:rPr>
                <w:sz w:val="20"/>
                <w:szCs w:val="20"/>
              </w:rPr>
            </w:pPr>
            <w:r w:rsidRPr="006A3507">
              <w:rPr>
                <w:sz w:val="20"/>
                <w:szCs w:val="20"/>
              </w:rPr>
              <w:t xml:space="preserve">The </w:t>
            </w:r>
            <w:r w:rsidR="00293095" w:rsidRPr="006A3507">
              <w:rPr>
                <w:sz w:val="20"/>
                <w:szCs w:val="20"/>
              </w:rPr>
              <w:t xml:space="preserve">Adjudicator determines, by preponderance of evidence, whether </w:t>
            </w:r>
            <w:r w:rsidR="00AF4F73" w:rsidRPr="006A3507">
              <w:rPr>
                <w:sz w:val="20"/>
                <w:szCs w:val="20"/>
              </w:rPr>
              <w:t>P</w:t>
            </w:r>
            <w:r w:rsidR="00293095" w:rsidRPr="006A3507">
              <w:rPr>
                <w:sz w:val="20"/>
                <w:szCs w:val="20"/>
              </w:rPr>
              <w:t>olicy was violated and simultaneously sends both parties a Notice of Decision, including appeal rights and identity of appellate authority.</w:t>
            </w:r>
          </w:p>
          <w:p w14:paraId="6ACF9E74" w14:textId="2C309BFB" w:rsidR="00293095" w:rsidRPr="006A3507" w:rsidRDefault="00293095" w:rsidP="00293095">
            <w:pPr>
              <w:pStyle w:val="ListParagraph"/>
              <w:numPr>
                <w:ilvl w:val="0"/>
                <w:numId w:val="7"/>
              </w:numPr>
              <w:ind w:left="301" w:hanging="301"/>
              <w:rPr>
                <w:sz w:val="20"/>
                <w:szCs w:val="20"/>
              </w:rPr>
            </w:pPr>
            <w:r w:rsidRPr="006A3507">
              <w:rPr>
                <w:sz w:val="20"/>
                <w:szCs w:val="20"/>
              </w:rPr>
              <w:t xml:space="preserve">In cases where there has been a violation of policy, </w:t>
            </w:r>
            <w:r w:rsidR="00CE6461" w:rsidRPr="006A3507">
              <w:rPr>
                <w:sz w:val="20"/>
                <w:szCs w:val="20"/>
              </w:rPr>
              <w:t xml:space="preserve">the </w:t>
            </w:r>
            <w:r w:rsidRPr="006A3507">
              <w:rPr>
                <w:sz w:val="20"/>
                <w:szCs w:val="20"/>
              </w:rPr>
              <w:t xml:space="preserve">Adjudicator confers with </w:t>
            </w:r>
            <w:r w:rsidR="00AF4F73" w:rsidRPr="006A3507">
              <w:rPr>
                <w:sz w:val="20"/>
                <w:szCs w:val="20"/>
              </w:rPr>
              <w:t>R</w:t>
            </w:r>
            <w:r w:rsidRPr="006A3507">
              <w:rPr>
                <w:sz w:val="20"/>
                <w:szCs w:val="20"/>
              </w:rPr>
              <w:t xml:space="preserve">esponding </w:t>
            </w:r>
            <w:r w:rsidR="00AF4F73" w:rsidRPr="006A3507">
              <w:rPr>
                <w:sz w:val="20"/>
                <w:szCs w:val="20"/>
              </w:rPr>
              <w:t>P</w:t>
            </w:r>
            <w:r w:rsidRPr="006A3507">
              <w:rPr>
                <w:sz w:val="20"/>
                <w:szCs w:val="20"/>
              </w:rPr>
              <w:t>arty’s supervisory unit on what disciplinary action is appropriate, consistent with applicable policy and collective bargaining agreement.</w:t>
            </w:r>
          </w:p>
          <w:p w14:paraId="5041FDE7" w14:textId="1F7EAEE1" w:rsidR="00293095" w:rsidRPr="006A3507" w:rsidRDefault="00293095" w:rsidP="00293095">
            <w:pPr>
              <w:rPr>
                <w:sz w:val="20"/>
                <w:szCs w:val="20"/>
              </w:rPr>
            </w:pPr>
          </w:p>
        </w:tc>
      </w:tr>
      <w:tr w:rsidR="00293095" w:rsidRPr="006A3507" w14:paraId="2FEB2585" w14:textId="77777777" w:rsidTr="00293095">
        <w:tc>
          <w:tcPr>
            <w:tcW w:w="14534" w:type="dxa"/>
            <w:gridSpan w:val="2"/>
          </w:tcPr>
          <w:p w14:paraId="55F369AD" w14:textId="0927E221" w:rsidR="00293095" w:rsidRPr="006A3507" w:rsidRDefault="00293095" w:rsidP="00293095">
            <w:pPr>
              <w:rPr>
                <w:b/>
                <w:sz w:val="20"/>
                <w:szCs w:val="20"/>
              </w:rPr>
            </w:pPr>
            <w:r w:rsidRPr="006A3507">
              <w:rPr>
                <w:b/>
                <w:sz w:val="20"/>
                <w:szCs w:val="20"/>
              </w:rPr>
              <w:t>Phase Five:  Appeal</w:t>
            </w:r>
            <w:r w:rsidR="006A3507">
              <w:rPr>
                <w:b/>
                <w:sz w:val="20"/>
                <w:szCs w:val="20"/>
              </w:rPr>
              <w:t xml:space="preserve">, </w:t>
            </w:r>
            <w:r w:rsidR="00D03014" w:rsidRPr="006A3507">
              <w:rPr>
                <w:b/>
                <w:sz w:val="20"/>
                <w:szCs w:val="20"/>
              </w:rPr>
              <w:t>for compla</w:t>
            </w:r>
            <w:r w:rsidR="006A3507">
              <w:rPr>
                <w:b/>
                <w:sz w:val="20"/>
                <w:szCs w:val="20"/>
              </w:rPr>
              <w:t xml:space="preserve">ints that have been adjudicated </w:t>
            </w:r>
            <w:r w:rsidR="00BA65F3" w:rsidRPr="006A3507">
              <w:rPr>
                <w:b/>
                <w:sz w:val="20"/>
                <w:szCs w:val="20"/>
              </w:rPr>
              <w:t>(Section J.10)</w:t>
            </w:r>
          </w:p>
          <w:p w14:paraId="25FE3C49" w14:textId="77777777" w:rsidR="00BA65F3" w:rsidRPr="006A3507" w:rsidRDefault="00BA65F3" w:rsidP="00293095">
            <w:pPr>
              <w:rPr>
                <w:sz w:val="20"/>
                <w:szCs w:val="20"/>
              </w:rPr>
            </w:pPr>
          </w:p>
          <w:p w14:paraId="0A0E45D2" w14:textId="4A9CC536" w:rsidR="00BA65F3" w:rsidRPr="006A3507" w:rsidRDefault="00CE6461" w:rsidP="00BA65F3">
            <w:pPr>
              <w:pStyle w:val="ListParagraph"/>
              <w:numPr>
                <w:ilvl w:val="0"/>
                <w:numId w:val="8"/>
              </w:numPr>
              <w:ind w:left="330" w:hanging="330"/>
              <w:rPr>
                <w:sz w:val="20"/>
                <w:szCs w:val="20"/>
              </w:rPr>
            </w:pPr>
            <w:r w:rsidRPr="006A3507">
              <w:rPr>
                <w:sz w:val="20"/>
                <w:szCs w:val="20"/>
              </w:rPr>
              <w:t>Both p</w:t>
            </w:r>
            <w:r w:rsidR="00BA65F3" w:rsidRPr="006A3507">
              <w:rPr>
                <w:sz w:val="20"/>
                <w:szCs w:val="20"/>
              </w:rPr>
              <w:t xml:space="preserve">arties have </w:t>
            </w:r>
            <w:r w:rsidRPr="006A3507">
              <w:rPr>
                <w:sz w:val="20"/>
                <w:szCs w:val="20"/>
              </w:rPr>
              <w:t xml:space="preserve">the </w:t>
            </w:r>
            <w:r w:rsidR="00BA65F3" w:rsidRPr="006A3507">
              <w:rPr>
                <w:sz w:val="20"/>
                <w:szCs w:val="20"/>
              </w:rPr>
              <w:t xml:space="preserve">right to appeal </w:t>
            </w:r>
            <w:r w:rsidRPr="006A3507">
              <w:rPr>
                <w:sz w:val="20"/>
                <w:szCs w:val="20"/>
              </w:rPr>
              <w:t xml:space="preserve">the </w:t>
            </w:r>
            <w:r w:rsidR="00BA65F3" w:rsidRPr="006A3507">
              <w:rPr>
                <w:sz w:val="20"/>
                <w:szCs w:val="20"/>
              </w:rPr>
              <w:t xml:space="preserve">Adjudicator’s decision regarding whether there has been a violation of Policy.  Appeals are to be submitted electronically </w:t>
            </w:r>
            <w:r w:rsidR="00EA1E1D" w:rsidRPr="006A3507">
              <w:rPr>
                <w:sz w:val="20"/>
                <w:szCs w:val="20"/>
              </w:rPr>
              <w:t xml:space="preserve">to the Executive Director of EOA/Title IX Coordinator </w:t>
            </w:r>
            <w:r w:rsidR="00BA65F3" w:rsidRPr="006A3507">
              <w:rPr>
                <w:sz w:val="20"/>
                <w:szCs w:val="20"/>
              </w:rPr>
              <w:t>within five (5) business days of the date of the Notice of Decision, and can be made on one of two grounds set forth in the Employee Process.</w:t>
            </w:r>
          </w:p>
          <w:p w14:paraId="780B014E" w14:textId="6BB02D32" w:rsidR="00AF4F73" w:rsidRPr="006A3507" w:rsidRDefault="000D7C36" w:rsidP="00BA65F3">
            <w:pPr>
              <w:pStyle w:val="ListParagraph"/>
              <w:numPr>
                <w:ilvl w:val="0"/>
                <w:numId w:val="8"/>
              </w:numPr>
              <w:ind w:left="330" w:hanging="330"/>
              <w:rPr>
                <w:sz w:val="20"/>
                <w:szCs w:val="20"/>
              </w:rPr>
            </w:pPr>
            <w:r w:rsidRPr="006A3507">
              <w:rPr>
                <w:sz w:val="20"/>
                <w:szCs w:val="20"/>
              </w:rPr>
              <w:t>Administrators outside the Office of Equal Opportunity and Access have been designated as Appellate Authorities.</w:t>
            </w:r>
          </w:p>
          <w:p w14:paraId="18AB859C" w14:textId="2BCD59EB" w:rsidR="00AF4F73" w:rsidRPr="006A3507" w:rsidRDefault="000D7C36" w:rsidP="00BA65F3">
            <w:pPr>
              <w:pStyle w:val="ListParagraph"/>
              <w:numPr>
                <w:ilvl w:val="0"/>
                <w:numId w:val="8"/>
              </w:numPr>
              <w:ind w:left="330" w:hanging="330"/>
              <w:rPr>
                <w:sz w:val="20"/>
                <w:szCs w:val="20"/>
              </w:rPr>
            </w:pPr>
            <w:r w:rsidRPr="006A3507">
              <w:rPr>
                <w:sz w:val="20"/>
                <w:szCs w:val="20"/>
              </w:rPr>
              <w:t>The</w:t>
            </w:r>
            <w:r w:rsidR="00AF4F73" w:rsidRPr="006A3507">
              <w:rPr>
                <w:sz w:val="20"/>
                <w:szCs w:val="20"/>
              </w:rPr>
              <w:t xml:space="preserve"> Appellate Authority makes a decision </w:t>
            </w:r>
            <w:r w:rsidRPr="006A3507">
              <w:rPr>
                <w:sz w:val="20"/>
                <w:szCs w:val="20"/>
              </w:rPr>
              <w:t xml:space="preserve">on the appeal </w:t>
            </w:r>
            <w:r w:rsidR="00AF4F73" w:rsidRPr="006A3507">
              <w:rPr>
                <w:sz w:val="20"/>
                <w:szCs w:val="20"/>
              </w:rPr>
              <w:t>and provides that in writing to the parties</w:t>
            </w:r>
            <w:r w:rsidRPr="006A3507">
              <w:rPr>
                <w:sz w:val="20"/>
                <w:szCs w:val="20"/>
              </w:rPr>
              <w:t>.  The Appellate Authority’s decision is</w:t>
            </w:r>
            <w:r w:rsidR="00AF4F73" w:rsidRPr="006A3507">
              <w:rPr>
                <w:sz w:val="20"/>
                <w:szCs w:val="20"/>
              </w:rPr>
              <w:t xml:space="preserve"> the final decision of OSU.</w:t>
            </w:r>
          </w:p>
          <w:p w14:paraId="4D3BA41D" w14:textId="2D22CE86" w:rsidR="00293095" w:rsidRPr="006A3507" w:rsidRDefault="00BA65F3" w:rsidP="00BA65F3">
            <w:pPr>
              <w:pStyle w:val="ListParagraph"/>
              <w:numPr>
                <w:ilvl w:val="0"/>
                <w:numId w:val="8"/>
              </w:numPr>
              <w:ind w:left="330" w:hanging="330"/>
              <w:rPr>
                <w:sz w:val="20"/>
                <w:szCs w:val="20"/>
              </w:rPr>
            </w:pPr>
            <w:r w:rsidRPr="006A3507">
              <w:rPr>
                <w:sz w:val="20"/>
                <w:szCs w:val="20"/>
              </w:rPr>
              <w:t xml:space="preserve">If a party wishes to contest disciplinary action imposed by their supervisory </w:t>
            </w:r>
            <w:r w:rsidR="006A3507">
              <w:rPr>
                <w:sz w:val="20"/>
                <w:szCs w:val="20"/>
              </w:rPr>
              <w:t>chain, it</w:t>
            </w:r>
            <w:r w:rsidRPr="006A3507">
              <w:rPr>
                <w:sz w:val="20"/>
                <w:szCs w:val="20"/>
              </w:rPr>
              <w:t xml:space="preserve"> must be done through the applicable OSU grievance process or collective bargaining agreement</w:t>
            </w:r>
            <w:r w:rsidR="00EA1E1D" w:rsidRPr="006A3507">
              <w:rPr>
                <w:sz w:val="20"/>
                <w:szCs w:val="20"/>
              </w:rPr>
              <w:t>.</w:t>
            </w:r>
          </w:p>
          <w:p w14:paraId="09201C52" w14:textId="4021014C" w:rsidR="00EA1E1D" w:rsidRPr="006A3507" w:rsidRDefault="00EA1E1D" w:rsidP="00EA1E1D">
            <w:pPr>
              <w:pStyle w:val="ListParagraph"/>
              <w:ind w:left="330"/>
              <w:rPr>
                <w:sz w:val="20"/>
                <w:szCs w:val="20"/>
              </w:rPr>
            </w:pPr>
          </w:p>
        </w:tc>
      </w:tr>
    </w:tbl>
    <w:p w14:paraId="3B924A90" w14:textId="77777777" w:rsidR="004B524E" w:rsidRPr="004B524E" w:rsidRDefault="004B524E" w:rsidP="009A5989">
      <w:pPr>
        <w:spacing w:after="0"/>
        <w:jc w:val="center"/>
      </w:pPr>
    </w:p>
    <w:sectPr w:rsidR="004B524E" w:rsidRPr="004B524E" w:rsidSect="008F549C">
      <w:pgSz w:w="15840" w:h="12240" w:orient="landscape" w:code="1"/>
      <w:pgMar w:top="720" w:right="576"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2C236" w14:textId="77777777" w:rsidR="003156C7" w:rsidRDefault="003156C7" w:rsidP="00CA3329">
      <w:pPr>
        <w:spacing w:after="0" w:line="240" w:lineRule="auto"/>
      </w:pPr>
      <w:r>
        <w:separator/>
      </w:r>
    </w:p>
  </w:endnote>
  <w:endnote w:type="continuationSeparator" w:id="0">
    <w:p w14:paraId="2CF8AF4B" w14:textId="77777777" w:rsidR="003156C7" w:rsidRDefault="003156C7" w:rsidP="00CA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0A64B" w14:textId="77777777" w:rsidR="003156C7" w:rsidRDefault="003156C7" w:rsidP="00CA3329">
      <w:pPr>
        <w:spacing w:after="0" w:line="240" w:lineRule="auto"/>
      </w:pPr>
      <w:r>
        <w:separator/>
      </w:r>
    </w:p>
  </w:footnote>
  <w:footnote w:type="continuationSeparator" w:id="0">
    <w:p w14:paraId="1F85A643" w14:textId="77777777" w:rsidR="003156C7" w:rsidRDefault="003156C7" w:rsidP="00CA3329">
      <w:pPr>
        <w:spacing w:after="0" w:line="240" w:lineRule="auto"/>
      </w:pPr>
      <w:r>
        <w:continuationSeparator/>
      </w:r>
    </w:p>
  </w:footnote>
  <w:footnote w:id="1">
    <w:p w14:paraId="5D473458" w14:textId="34ABCC54" w:rsidR="00CA3329" w:rsidRPr="001F4533" w:rsidRDefault="00CA3329">
      <w:pPr>
        <w:pStyle w:val="FootnoteText"/>
      </w:pPr>
      <w:r w:rsidRPr="008F549C">
        <w:rPr>
          <w:rStyle w:val="FootnoteReference"/>
          <w:sz w:val="22"/>
          <w:szCs w:val="22"/>
        </w:rPr>
        <w:footnoteRef/>
      </w:r>
      <w:r w:rsidRPr="008F549C">
        <w:rPr>
          <w:sz w:val="22"/>
          <w:szCs w:val="22"/>
        </w:rPr>
        <w:t xml:space="preserve"> </w:t>
      </w:r>
      <w:r w:rsidRPr="001F4533">
        <w:t>When the report is submitted by a third party, EOA will treat the reported impacted party as the Reporting Party.</w:t>
      </w:r>
    </w:p>
  </w:footnote>
  <w:footnote w:id="2">
    <w:p w14:paraId="7F8D127F" w14:textId="08B34648" w:rsidR="008C58E6" w:rsidRDefault="008C58E6">
      <w:pPr>
        <w:pStyle w:val="FootnoteText"/>
      </w:pPr>
      <w:r>
        <w:rPr>
          <w:rStyle w:val="FootnoteReference"/>
        </w:rPr>
        <w:footnoteRef/>
      </w:r>
      <w:r>
        <w:t xml:space="preserve"> The facilitated resolution process is typically not used to resolve complaints when a student has reported sexual </w:t>
      </w:r>
      <w:r w:rsidR="0018720D">
        <w:t xml:space="preserve">misconduct </w:t>
      </w:r>
      <w:r>
        <w:t>against an employee in a position of authority over the student.</w:t>
      </w:r>
    </w:p>
  </w:footnote>
  <w:footnote w:id="3">
    <w:p w14:paraId="74515B95" w14:textId="707CCCF6" w:rsidR="00293095" w:rsidRDefault="00293095" w:rsidP="00293095">
      <w:pPr>
        <w:pStyle w:val="FootnoteText"/>
      </w:pPr>
      <w:r w:rsidRPr="008F549C">
        <w:rPr>
          <w:rStyle w:val="FootnoteReference"/>
          <w:sz w:val="22"/>
          <w:szCs w:val="22"/>
        </w:rPr>
        <w:footnoteRef/>
      </w:r>
      <w:r w:rsidRPr="008F549C">
        <w:rPr>
          <w:sz w:val="22"/>
          <w:szCs w:val="22"/>
        </w:rPr>
        <w:t xml:space="preserve"> </w:t>
      </w:r>
      <w:r w:rsidRPr="001F4533">
        <w:t>Responding Party participation is not required; however, the investigation will continue with or without their participation.</w:t>
      </w:r>
      <w:r>
        <w:tab/>
      </w:r>
      <w:r>
        <w:tab/>
      </w:r>
      <w:r>
        <w:tab/>
      </w:r>
      <w:r w:rsidR="006A3507">
        <w:tab/>
      </w:r>
      <w:r w:rsidR="00DE5B94">
        <w:rPr>
          <w:sz w:val="16"/>
          <w:szCs w:val="16"/>
        </w:rPr>
        <w:t xml:space="preserve">Updated </w:t>
      </w:r>
      <w:r w:rsidR="00DE5B94">
        <w:rPr>
          <w:sz w:val="16"/>
          <w:szCs w:val="16"/>
        </w:rPr>
        <w:t>3.13</w:t>
      </w:r>
      <w:bookmarkStart w:id="0" w:name="_GoBack"/>
      <w:bookmarkEnd w:id="0"/>
      <w:r w:rsidR="006A3507">
        <w:rPr>
          <w:sz w:val="16"/>
          <w:szCs w:val="16"/>
        </w:rPr>
        <w:t>.2020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6C7"/>
    <w:multiLevelType w:val="hybridMultilevel"/>
    <w:tmpl w:val="280466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CB9694B"/>
    <w:multiLevelType w:val="hybridMultilevel"/>
    <w:tmpl w:val="39EA1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C633B"/>
    <w:multiLevelType w:val="hybridMultilevel"/>
    <w:tmpl w:val="4D98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B1AD2"/>
    <w:multiLevelType w:val="hybridMultilevel"/>
    <w:tmpl w:val="107CCCC6"/>
    <w:lvl w:ilvl="0" w:tplc="0FFCA1A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75C67"/>
    <w:multiLevelType w:val="hybridMultilevel"/>
    <w:tmpl w:val="A372B750"/>
    <w:lvl w:ilvl="0" w:tplc="B8286BE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D92FB2"/>
    <w:multiLevelType w:val="hybridMultilevel"/>
    <w:tmpl w:val="4490D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F5366"/>
    <w:multiLevelType w:val="hybridMultilevel"/>
    <w:tmpl w:val="73FCF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F308D9"/>
    <w:multiLevelType w:val="hybridMultilevel"/>
    <w:tmpl w:val="A7A85250"/>
    <w:lvl w:ilvl="0" w:tplc="FC40AF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E613B"/>
    <w:multiLevelType w:val="hybridMultilevel"/>
    <w:tmpl w:val="DD94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93B63"/>
    <w:multiLevelType w:val="hybridMultilevel"/>
    <w:tmpl w:val="1918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3"/>
  </w:num>
  <w:num w:numId="6">
    <w:abstractNumId w:val="9"/>
  </w:num>
  <w:num w:numId="7">
    <w:abstractNumId w:val="5"/>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4E"/>
    <w:rsid w:val="000069B1"/>
    <w:rsid w:val="000235B6"/>
    <w:rsid w:val="000436EB"/>
    <w:rsid w:val="00056A0F"/>
    <w:rsid w:val="00056C39"/>
    <w:rsid w:val="00065686"/>
    <w:rsid w:val="000661EC"/>
    <w:rsid w:val="0007669B"/>
    <w:rsid w:val="000D7C36"/>
    <w:rsid w:val="00104041"/>
    <w:rsid w:val="00104A6A"/>
    <w:rsid w:val="00160BA8"/>
    <w:rsid w:val="00176F41"/>
    <w:rsid w:val="0018720D"/>
    <w:rsid w:val="001904CA"/>
    <w:rsid w:val="001B5523"/>
    <w:rsid w:val="001D6C7E"/>
    <w:rsid w:val="001F4533"/>
    <w:rsid w:val="00203B17"/>
    <w:rsid w:val="0022419A"/>
    <w:rsid w:val="00224FFE"/>
    <w:rsid w:val="00293095"/>
    <w:rsid w:val="002D371D"/>
    <w:rsid w:val="003156C7"/>
    <w:rsid w:val="00337A1B"/>
    <w:rsid w:val="003560B1"/>
    <w:rsid w:val="0036116C"/>
    <w:rsid w:val="00365E34"/>
    <w:rsid w:val="00382953"/>
    <w:rsid w:val="003A7A9F"/>
    <w:rsid w:val="003F50F9"/>
    <w:rsid w:val="00442F25"/>
    <w:rsid w:val="00464127"/>
    <w:rsid w:val="004A584B"/>
    <w:rsid w:val="004B13F1"/>
    <w:rsid w:val="004B524E"/>
    <w:rsid w:val="004C6F62"/>
    <w:rsid w:val="004F248A"/>
    <w:rsid w:val="004F4D63"/>
    <w:rsid w:val="00507BC8"/>
    <w:rsid w:val="00513077"/>
    <w:rsid w:val="00533AFB"/>
    <w:rsid w:val="0055775C"/>
    <w:rsid w:val="005D2323"/>
    <w:rsid w:val="005E6ADD"/>
    <w:rsid w:val="00692EF8"/>
    <w:rsid w:val="006A3507"/>
    <w:rsid w:val="006B0D66"/>
    <w:rsid w:val="007376D3"/>
    <w:rsid w:val="00751C6E"/>
    <w:rsid w:val="0075593A"/>
    <w:rsid w:val="0077508E"/>
    <w:rsid w:val="00777367"/>
    <w:rsid w:val="00784302"/>
    <w:rsid w:val="007B444F"/>
    <w:rsid w:val="007F7745"/>
    <w:rsid w:val="00803FC9"/>
    <w:rsid w:val="00847941"/>
    <w:rsid w:val="008C58E6"/>
    <w:rsid w:val="008F549C"/>
    <w:rsid w:val="00954C58"/>
    <w:rsid w:val="009765CE"/>
    <w:rsid w:val="00995AE5"/>
    <w:rsid w:val="009A5989"/>
    <w:rsid w:val="009A71AF"/>
    <w:rsid w:val="009C129E"/>
    <w:rsid w:val="009E34C3"/>
    <w:rsid w:val="009E4146"/>
    <w:rsid w:val="00A20A04"/>
    <w:rsid w:val="00A5719F"/>
    <w:rsid w:val="00A90A85"/>
    <w:rsid w:val="00AA1680"/>
    <w:rsid w:val="00AE7C3C"/>
    <w:rsid w:val="00AF4F73"/>
    <w:rsid w:val="00B13B13"/>
    <w:rsid w:val="00B3181F"/>
    <w:rsid w:val="00BA65F3"/>
    <w:rsid w:val="00C11F7B"/>
    <w:rsid w:val="00C41785"/>
    <w:rsid w:val="00C939EF"/>
    <w:rsid w:val="00CA3329"/>
    <w:rsid w:val="00CE6461"/>
    <w:rsid w:val="00D03014"/>
    <w:rsid w:val="00D1639D"/>
    <w:rsid w:val="00D61E19"/>
    <w:rsid w:val="00DB39CC"/>
    <w:rsid w:val="00DD6378"/>
    <w:rsid w:val="00DE29F2"/>
    <w:rsid w:val="00DE5B94"/>
    <w:rsid w:val="00DF37D8"/>
    <w:rsid w:val="00E042F3"/>
    <w:rsid w:val="00E27B4A"/>
    <w:rsid w:val="00E32B1F"/>
    <w:rsid w:val="00E3498A"/>
    <w:rsid w:val="00E568DA"/>
    <w:rsid w:val="00EA1E1D"/>
    <w:rsid w:val="00EB7FA2"/>
    <w:rsid w:val="00EC4B71"/>
    <w:rsid w:val="00F15E67"/>
    <w:rsid w:val="00F16D00"/>
    <w:rsid w:val="00F36BE9"/>
    <w:rsid w:val="00F876C1"/>
    <w:rsid w:val="00FC1427"/>
    <w:rsid w:val="00FF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7945"/>
  <w15:chartTrackingRefBased/>
  <w15:docId w15:val="{60534D19-A655-4456-B1C4-E7F62165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EF8"/>
    <w:pPr>
      <w:ind w:left="720"/>
      <w:contextualSpacing/>
    </w:pPr>
  </w:style>
  <w:style w:type="character" w:styleId="CommentReference">
    <w:name w:val="annotation reference"/>
    <w:basedOn w:val="DefaultParagraphFont"/>
    <w:uiPriority w:val="99"/>
    <w:semiHidden/>
    <w:unhideWhenUsed/>
    <w:rsid w:val="00777367"/>
    <w:rPr>
      <w:sz w:val="16"/>
      <w:szCs w:val="16"/>
    </w:rPr>
  </w:style>
  <w:style w:type="paragraph" w:styleId="CommentText">
    <w:name w:val="annotation text"/>
    <w:basedOn w:val="Normal"/>
    <w:link w:val="CommentTextChar"/>
    <w:uiPriority w:val="99"/>
    <w:semiHidden/>
    <w:unhideWhenUsed/>
    <w:rsid w:val="00777367"/>
    <w:pPr>
      <w:spacing w:line="240" w:lineRule="auto"/>
    </w:pPr>
    <w:rPr>
      <w:sz w:val="20"/>
      <w:szCs w:val="20"/>
    </w:rPr>
  </w:style>
  <w:style w:type="character" w:customStyle="1" w:styleId="CommentTextChar">
    <w:name w:val="Comment Text Char"/>
    <w:basedOn w:val="DefaultParagraphFont"/>
    <w:link w:val="CommentText"/>
    <w:uiPriority w:val="99"/>
    <w:semiHidden/>
    <w:rsid w:val="00777367"/>
    <w:rPr>
      <w:sz w:val="20"/>
      <w:szCs w:val="20"/>
    </w:rPr>
  </w:style>
  <w:style w:type="paragraph" w:styleId="CommentSubject">
    <w:name w:val="annotation subject"/>
    <w:basedOn w:val="CommentText"/>
    <w:next w:val="CommentText"/>
    <w:link w:val="CommentSubjectChar"/>
    <w:uiPriority w:val="99"/>
    <w:semiHidden/>
    <w:unhideWhenUsed/>
    <w:rsid w:val="00777367"/>
    <w:rPr>
      <w:b/>
      <w:bCs/>
    </w:rPr>
  </w:style>
  <w:style w:type="character" w:customStyle="1" w:styleId="CommentSubjectChar">
    <w:name w:val="Comment Subject Char"/>
    <w:basedOn w:val="CommentTextChar"/>
    <w:link w:val="CommentSubject"/>
    <w:uiPriority w:val="99"/>
    <w:semiHidden/>
    <w:rsid w:val="00777367"/>
    <w:rPr>
      <w:b/>
      <w:bCs/>
      <w:sz w:val="20"/>
      <w:szCs w:val="20"/>
    </w:rPr>
  </w:style>
  <w:style w:type="paragraph" w:styleId="BalloonText">
    <w:name w:val="Balloon Text"/>
    <w:basedOn w:val="Normal"/>
    <w:link w:val="BalloonTextChar"/>
    <w:uiPriority w:val="99"/>
    <w:semiHidden/>
    <w:unhideWhenUsed/>
    <w:rsid w:val="00777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367"/>
    <w:rPr>
      <w:rFonts w:ascii="Segoe UI" w:hAnsi="Segoe UI" w:cs="Segoe UI"/>
      <w:sz w:val="18"/>
      <w:szCs w:val="18"/>
    </w:rPr>
  </w:style>
  <w:style w:type="paragraph" w:styleId="FootnoteText">
    <w:name w:val="footnote text"/>
    <w:basedOn w:val="Normal"/>
    <w:link w:val="FootnoteTextChar"/>
    <w:uiPriority w:val="99"/>
    <w:semiHidden/>
    <w:unhideWhenUsed/>
    <w:rsid w:val="00CA3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329"/>
    <w:rPr>
      <w:sz w:val="20"/>
      <w:szCs w:val="20"/>
    </w:rPr>
  </w:style>
  <w:style w:type="character" w:styleId="FootnoteReference">
    <w:name w:val="footnote reference"/>
    <w:basedOn w:val="DefaultParagraphFont"/>
    <w:uiPriority w:val="99"/>
    <w:semiHidden/>
    <w:unhideWhenUsed/>
    <w:rsid w:val="00CA3329"/>
    <w:rPr>
      <w:vertAlign w:val="superscript"/>
    </w:rPr>
  </w:style>
  <w:style w:type="paragraph" w:styleId="Header">
    <w:name w:val="header"/>
    <w:basedOn w:val="Normal"/>
    <w:link w:val="HeaderChar"/>
    <w:uiPriority w:val="99"/>
    <w:unhideWhenUsed/>
    <w:rsid w:val="009A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989"/>
  </w:style>
  <w:style w:type="paragraph" w:styleId="Footer">
    <w:name w:val="footer"/>
    <w:basedOn w:val="Normal"/>
    <w:link w:val="FooterChar"/>
    <w:uiPriority w:val="99"/>
    <w:unhideWhenUsed/>
    <w:rsid w:val="009A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989"/>
  </w:style>
  <w:style w:type="character" w:styleId="Hyperlink">
    <w:name w:val="Hyperlink"/>
    <w:basedOn w:val="DefaultParagraphFont"/>
    <w:uiPriority w:val="99"/>
    <w:unhideWhenUsed/>
    <w:rsid w:val="009A5989"/>
    <w:rPr>
      <w:color w:val="0563C1" w:themeColor="hyperlink"/>
      <w:u w:val="single"/>
    </w:rPr>
  </w:style>
  <w:style w:type="character" w:styleId="FollowedHyperlink">
    <w:name w:val="FollowedHyperlink"/>
    <w:basedOn w:val="DefaultParagraphFont"/>
    <w:uiPriority w:val="99"/>
    <w:semiHidden/>
    <w:unhideWhenUsed/>
    <w:rsid w:val="009A59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a.oregonstate.edu/sites/eoa.oregonstate.edu/files/2020.1.17employeeproces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oa.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E5AED-D9A4-4E8F-ACB9-1655CB57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 Penelope</dc:creator>
  <cp:keywords/>
  <dc:description/>
  <cp:lastModifiedBy>Noble, Reilly T</cp:lastModifiedBy>
  <cp:revision>3</cp:revision>
  <cp:lastPrinted>2019-10-30T18:59:00Z</cp:lastPrinted>
  <dcterms:created xsi:type="dcterms:W3CDTF">2020-03-13T16:49:00Z</dcterms:created>
  <dcterms:modified xsi:type="dcterms:W3CDTF">2020-03-13T17:12:00Z</dcterms:modified>
</cp:coreProperties>
</file>